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w:t>
      </w:r>
    </w:p>
    <w:p>
      <w:pPr>
        <w:pStyle w:val="7"/>
        <w:jc w:val="center"/>
        <w:outlineLvl w:val="9"/>
        <w:rPr>
          <w:rFonts w:hint="eastAsia" w:asciiTheme="minorEastAsia" w:hAnsiTheme="minorEastAsia" w:eastAsiaTheme="minorEastAsia" w:cstheme="minorEastAsia"/>
          <w:b/>
          <w:sz w:val="24"/>
          <w:szCs w:val="24"/>
        </w:rPr>
      </w:pPr>
    </w:p>
    <w:p>
      <w:pPr>
        <w:pStyle w:val="7"/>
        <w:jc w:val="center"/>
        <w:outlineLvl w:val="9"/>
        <w:rPr>
          <w:rFonts w:hint="eastAsia" w:asciiTheme="minorEastAsia" w:hAnsiTheme="minorEastAsia" w:eastAsiaTheme="minorEastAsia" w:cstheme="minorEastAsia"/>
          <w:b/>
          <w:sz w:val="72"/>
          <w:szCs w:val="72"/>
        </w:rPr>
      </w:pPr>
    </w:p>
    <w:p>
      <w:pPr>
        <w:pStyle w:val="7"/>
        <w:jc w:val="center"/>
        <w:outlineLvl w:val="9"/>
        <w:rPr>
          <w:rFonts w:hint="eastAsia" w:asciiTheme="minorEastAsia" w:hAnsiTheme="minorEastAsia" w:eastAsiaTheme="minorEastAsia" w:cstheme="minorEastAsia"/>
          <w:sz w:val="72"/>
          <w:szCs w:val="72"/>
        </w:rPr>
      </w:pPr>
      <w:r>
        <w:rPr>
          <w:rFonts w:hint="eastAsia" w:asciiTheme="minorEastAsia" w:hAnsiTheme="minorEastAsia" w:eastAsiaTheme="minorEastAsia" w:cstheme="minorEastAsia"/>
          <w:b/>
          <w:sz w:val="72"/>
          <w:szCs w:val="72"/>
        </w:rPr>
        <w:t>福建省政府采购</w:t>
      </w:r>
    </w:p>
    <w:p>
      <w:pPr>
        <w:pStyle w:val="7"/>
        <w:jc w:val="center"/>
        <w:outlineLvl w:val="9"/>
        <w:rPr>
          <w:rFonts w:hint="eastAsia" w:asciiTheme="minorEastAsia" w:hAnsiTheme="minorEastAsia" w:eastAsiaTheme="minorEastAsia" w:cstheme="minorEastAsia"/>
          <w:sz w:val="72"/>
          <w:szCs w:val="72"/>
        </w:rPr>
      </w:pPr>
      <w:r>
        <w:rPr>
          <w:rFonts w:hint="eastAsia" w:asciiTheme="minorEastAsia" w:hAnsiTheme="minorEastAsia" w:eastAsiaTheme="minorEastAsia" w:cstheme="minorEastAsia"/>
          <w:b/>
          <w:sz w:val="72"/>
          <w:szCs w:val="72"/>
        </w:rPr>
        <w:t>货物和服务项目</w:t>
      </w:r>
    </w:p>
    <w:p>
      <w:pPr>
        <w:pStyle w:val="7"/>
        <w:jc w:val="center"/>
        <w:outlineLvl w:val="9"/>
        <w:rPr>
          <w:rFonts w:hint="eastAsia" w:asciiTheme="minorEastAsia" w:hAnsiTheme="minorEastAsia" w:eastAsiaTheme="minorEastAsia" w:cstheme="minorEastAsia"/>
          <w:sz w:val="72"/>
          <w:szCs w:val="72"/>
        </w:rPr>
      </w:pPr>
      <w:r>
        <w:rPr>
          <w:rFonts w:hint="eastAsia" w:asciiTheme="minorEastAsia" w:hAnsiTheme="minorEastAsia" w:eastAsiaTheme="minorEastAsia" w:cstheme="minorEastAsia"/>
          <w:b/>
          <w:sz w:val="72"/>
          <w:szCs w:val="72"/>
        </w:rPr>
        <w:t>公开招标文件</w:t>
      </w:r>
    </w:p>
    <w:p>
      <w:pPr>
        <w:pStyle w:val="7"/>
        <w:jc w:val="center"/>
        <w:outlineLvl w:val="9"/>
        <w:rPr>
          <w:rFonts w:hint="eastAsia" w:asciiTheme="minorEastAsia" w:hAnsiTheme="minorEastAsia" w:eastAsiaTheme="minorEastAsia" w:cstheme="minorEastAsia"/>
          <w:b/>
          <w:sz w:val="28"/>
        </w:rPr>
      </w:pPr>
    </w:p>
    <w:p>
      <w:pPr>
        <w:pStyle w:val="7"/>
        <w:jc w:val="center"/>
        <w:outlineLvl w:val="9"/>
        <w:rPr>
          <w:rFonts w:hint="eastAsia" w:asciiTheme="minorEastAsia" w:hAnsiTheme="minorEastAsia" w:eastAsiaTheme="minorEastAsia" w:cstheme="minorEastAsia"/>
          <w:b/>
          <w:sz w:val="28"/>
        </w:rPr>
      </w:pPr>
    </w:p>
    <w:p>
      <w:pPr>
        <w:pStyle w:val="7"/>
        <w:jc w:val="center"/>
        <w:outlineLvl w:val="9"/>
        <w:rPr>
          <w:rFonts w:hint="eastAsia" w:asciiTheme="minorEastAsia" w:hAnsiTheme="minorEastAsia" w:eastAsiaTheme="minorEastAsia" w:cstheme="minorEastAsia"/>
          <w:b/>
          <w:sz w:val="28"/>
        </w:rPr>
      </w:pPr>
    </w:p>
    <w:p>
      <w:pPr>
        <w:pStyle w:val="7"/>
        <w:jc w:val="center"/>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项目名称：</w:t>
      </w:r>
      <w:bookmarkStart w:id="0" w:name="OLE_LINK2"/>
      <w:r>
        <w:rPr>
          <w:rFonts w:hint="eastAsia" w:asciiTheme="minorEastAsia" w:hAnsiTheme="minorEastAsia" w:eastAsiaTheme="minorEastAsia" w:cstheme="minorEastAsia"/>
          <w:b/>
          <w:sz w:val="32"/>
          <w:szCs w:val="32"/>
        </w:rPr>
        <w:t>应急科普户外媒体播出服务</w:t>
      </w:r>
      <w:bookmarkEnd w:id="0"/>
    </w:p>
    <w:p>
      <w:pPr>
        <w:pStyle w:val="7"/>
        <w:jc w:val="center"/>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备案编号：CGXM-2026-350001-06764[2026]04705</w:t>
      </w:r>
    </w:p>
    <w:p>
      <w:pPr>
        <w:pStyle w:val="7"/>
        <w:jc w:val="center"/>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项目编号：[350001]YXGL[GK]2026001</w:t>
      </w:r>
    </w:p>
    <w:p>
      <w:pPr>
        <w:pStyle w:val="7"/>
        <w:jc w:val="center"/>
        <w:outlineLvl w:val="9"/>
        <w:rPr>
          <w:rFonts w:hint="eastAsia" w:asciiTheme="minorEastAsia" w:hAnsiTheme="minorEastAsia" w:eastAsiaTheme="minorEastAsia" w:cstheme="minorEastAsia"/>
          <w:b/>
          <w:sz w:val="32"/>
          <w:szCs w:val="32"/>
        </w:rPr>
      </w:pPr>
    </w:p>
    <w:p>
      <w:pPr>
        <w:pStyle w:val="7"/>
        <w:jc w:val="center"/>
        <w:outlineLvl w:val="9"/>
        <w:rPr>
          <w:rFonts w:hint="eastAsia" w:asciiTheme="minorEastAsia" w:hAnsiTheme="minorEastAsia" w:eastAsiaTheme="minorEastAsia" w:cstheme="minorEastAsia"/>
          <w:b/>
          <w:sz w:val="32"/>
          <w:szCs w:val="32"/>
        </w:rPr>
      </w:pPr>
    </w:p>
    <w:p>
      <w:pPr>
        <w:pStyle w:val="7"/>
        <w:jc w:val="center"/>
        <w:outlineLvl w:val="9"/>
        <w:rPr>
          <w:rFonts w:hint="eastAsia" w:asciiTheme="minorEastAsia" w:hAnsiTheme="minorEastAsia" w:eastAsiaTheme="minorEastAsia" w:cstheme="minorEastAsia"/>
          <w:b/>
          <w:sz w:val="32"/>
          <w:szCs w:val="32"/>
        </w:rPr>
      </w:pPr>
    </w:p>
    <w:p>
      <w:pPr>
        <w:pStyle w:val="7"/>
        <w:jc w:val="center"/>
        <w:outlineLvl w:val="9"/>
        <w:rPr>
          <w:rFonts w:hint="eastAsia" w:asciiTheme="minorEastAsia" w:hAnsiTheme="minorEastAsia" w:eastAsiaTheme="minorEastAsia" w:cstheme="minorEastAsia"/>
          <w:b/>
          <w:sz w:val="32"/>
          <w:szCs w:val="32"/>
        </w:rPr>
      </w:pPr>
    </w:p>
    <w:p>
      <w:pPr>
        <w:pStyle w:val="7"/>
        <w:jc w:val="center"/>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采购人：福建省安全生产科学研究院</w:t>
      </w:r>
    </w:p>
    <w:p>
      <w:pPr>
        <w:pStyle w:val="7"/>
        <w:jc w:val="center"/>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代理机构：福建易星项目管理有限公司</w:t>
      </w:r>
    </w:p>
    <w:p>
      <w:pPr>
        <w:pStyle w:val="7"/>
        <w:jc w:val="center"/>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编制时间：2026年</w:t>
      </w:r>
      <w:r>
        <w:rPr>
          <w:rFonts w:hint="eastAsia" w:asciiTheme="minorEastAsia" w:hAnsiTheme="minorEastAsia" w:cstheme="minorEastAsia"/>
          <w:b/>
          <w:sz w:val="32"/>
          <w:szCs w:val="32"/>
          <w:lang w:val="en-US" w:eastAsia="zh-CN"/>
        </w:rPr>
        <w:t>10</w:t>
      </w:r>
      <w:r>
        <w:rPr>
          <w:rFonts w:hint="eastAsia" w:asciiTheme="minorEastAsia" w:hAnsiTheme="minorEastAsia" w:eastAsiaTheme="minorEastAsia" w:cstheme="minorEastAsia"/>
          <w:b/>
          <w:sz w:val="32"/>
          <w:szCs w:val="32"/>
        </w:rPr>
        <w:t>月</w:t>
      </w:r>
    </w:p>
    <w:p>
      <w:pPr>
        <w:pStyle w:val="7"/>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p>
    <w:p>
      <w:pPr>
        <w:pStyle w:val="7"/>
        <w:jc w:val="center"/>
        <w:outlineLvl w:val="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第一章 投标邀请</w:t>
      </w:r>
    </w:p>
    <w:p>
      <w:pPr>
        <w:pStyle w:val="7"/>
        <w:ind w:firstLine="480"/>
        <w:jc w:val="both"/>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u w:val="single"/>
        </w:rPr>
        <w:t xml:space="preserve">福建易星项目管理有限公司 </w:t>
      </w:r>
      <w:r>
        <w:rPr>
          <w:rFonts w:hint="eastAsia" w:asciiTheme="minorEastAsia" w:hAnsiTheme="minorEastAsia" w:eastAsiaTheme="minorEastAsia" w:cstheme="minorEastAsia"/>
          <w:sz w:val="24"/>
          <w:szCs w:val="24"/>
        </w:rPr>
        <w:t>采用</w:t>
      </w:r>
      <w:r>
        <w:rPr>
          <w:rFonts w:hint="eastAsia" w:asciiTheme="minorEastAsia" w:hAnsiTheme="minorEastAsia" w:eastAsiaTheme="minorEastAsia" w:cstheme="minorEastAsia"/>
          <w:sz w:val="24"/>
          <w:szCs w:val="24"/>
          <w:u w:val="single"/>
        </w:rPr>
        <w:t>公开招标</w:t>
      </w:r>
      <w:r>
        <w:rPr>
          <w:rFonts w:hint="eastAsia" w:asciiTheme="minorEastAsia" w:hAnsiTheme="minorEastAsia" w:eastAsiaTheme="minorEastAsia" w:cstheme="minorEastAsia"/>
          <w:sz w:val="24"/>
          <w:szCs w:val="24"/>
        </w:rPr>
        <w:t>方式组织</w:t>
      </w:r>
      <w:r>
        <w:rPr>
          <w:rFonts w:hint="eastAsia" w:asciiTheme="minorEastAsia" w:hAnsiTheme="minorEastAsia" w:eastAsiaTheme="minorEastAsia" w:cstheme="minorEastAsia"/>
          <w:sz w:val="24"/>
          <w:szCs w:val="24"/>
          <w:u w:val="single"/>
        </w:rPr>
        <w:t xml:space="preserve"> 应急科普户外媒体播出服务 </w:t>
      </w:r>
      <w:r>
        <w:rPr>
          <w:rFonts w:hint="eastAsia" w:asciiTheme="minorEastAsia" w:hAnsiTheme="minorEastAsia" w:eastAsiaTheme="minorEastAsia" w:cstheme="minorEastAsia"/>
          <w:sz w:val="24"/>
          <w:szCs w:val="24"/>
        </w:rPr>
        <w:t>（以下简称：“本项目”）的政府采购活动，现邀请供应商参加投标。</w:t>
      </w:r>
    </w:p>
    <w:p>
      <w:pPr>
        <w:pStyle w:val="7"/>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1、备案编号：CGXM-2026-350001-06764[2026]04705</w:t>
      </w:r>
    </w:p>
    <w:p>
      <w:pPr>
        <w:pStyle w:val="7"/>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2、项目编号：[350001]YXGL[GK]2026001</w:t>
      </w:r>
    </w:p>
    <w:p>
      <w:pPr>
        <w:pStyle w:val="7"/>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3、预算金额、最高限价：详见《采购标的一览表》。</w:t>
      </w:r>
    </w:p>
    <w:p>
      <w:pPr>
        <w:pStyle w:val="7"/>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4、招标内容及要求：详见《采购标的一览表》及招标文件第五章。</w:t>
      </w:r>
    </w:p>
    <w:p>
      <w:pPr>
        <w:pStyle w:val="7"/>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5、需要落实的政府采购政策</w:t>
      </w:r>
    </w:p>
    <w:p>
      <w:pPr>
        <w:pStyle w:val="7"/>
        <w:keepNext w:val="0"/>
        <w:keepLines w:val="0"/>
        <w:pageBreakBefore w:val="0"/>
        <w:widowControl/>
        <w:kinsoku/>
        <w:wordWrap/>
        <w:overflowPunct/>
        <w:topLinePunct w:val="0"/>
        <w:autoSpaceDE/>
        <w:autoSpaceDN/>
        <w:bidi w:val="0"/>
        <w:adjustRightInd/>
        <w:snapToGrid/>
        <w:ind w:firstLine="480" w:firstLineChars="200"/>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进口产品：不适用于本项目</w:t>
      </w:r>
    </w:p>
    <w:p>
      <w:pPr>
        <w:pStyle w:val="7"/>
        <w:keepNext w:val="0"/>
        <w:keepLines w:val="0"/>
        <w:pageBreakBefore w:val="0"/>
        <w:widowControl/>
        <w:kinsoku/>
        <w:wordWrap/>
        <w:overflowPunct/>
        <w:topLinePunct w:val="0"/>
        <w:autoSpaceDE/>
        <w:autoSpaceDN/>
        <w:bidi w:val="0"/>
        <w:adjustRightInd/>
        <w:snapToGrid/>
        <w:ind w:firstLine="480" w:firstLineChars="200"/>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节能产品：不适用于本项目</w:t>
      </w:r>
    </w:p>
    <w:p>
      <w:pPr>
        <w:pStyle w:val="7"/>
        <w:keepNext w:val="0"/>
        <w:keepLines w:val="0"/>
        <w:pageBreakBefore w:val="0"/>
        <w:widowControl/>
        <w:kinsoku/>
        <w:wordWrap/>
        <w:overflowPunct/>
        <w:topLinePunct w:val="0"/>
        <w:autoSpaceDE/>
        <w:autoSpaceDN/>
        <w:bidi w:val="0"/>
        <w:adjustRightInd/>
        <w:snapToGrid/>
        <w:ind w:firstLine="480" w:firstLineChars="200"/>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环境标志产品：不适用于本项目</w:t>
      </w:r>
    </w:p>
    <w:p>
      <w:pPr>
        <w:pStyle w:val="7"/>
        <w:keepNext w:val="0"/>
        <w:keepLines w:val="0"/>
        <w:pageBreakBefore w:val="0"/>
        <w:widowControl/>
        <w:kinsoku/>
        <w:wordWrap/>
        <w:overflowPunct/>
        <w:topLinePunct w:val="0"/>
        <w:autoSpaceDE/>
        <w:autoSpaceDN/>
        <w:bidi w:val="0"/>
        <w:adjustRightInd/>
        <w:snapToGrid/>
        <w:ind w:firstLine="480" w:firstLineChars="200"/>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促进中小企业发展的相关政策：</w:t>
      </w:r>
    </w:p>
    <w:p>
      <w:pPr>
        <w:pStyle w:val="7"/>
        <w:keepNext w:val="0"/>
        <w:keepLines w:val="0"/>
        <w:pageBreakBefore w:val="0"/>
        <w:widowControl/>
        <w:kinsoku/>
        <w:wordWrap/>
        <w:overflowPunct/>
        <w:topLinePunct w:val="0"/>
        <w:autoSpaceDE/>
        <w:autoSpaceDN/>
        <w:bidi w:val="0"/>
        <w:adjustRightInd/>
        <w:snapToGrid/>
        <w:ind w:firstLine="480" w:firstLineChars="200"/>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采购包1：不专门面向中小企业采购</w:t>
      </w:r>
    </w:p>
    <w:p>
      <w:pPr>
        <w:pStyle w:val="7"/>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6、投标人的资格要求</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6.1法定条件：符合政府采购法第二十二条第一款规定的条件。</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6.2特定条件：</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5"/>
        <w:tblW w:w="962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746"/>
        <w:gridCol w:w="787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46" w:type="dxa"/>
            <w:vAlign w:val="center"/>
          </w:tcPr>
          <w:p>
            <w:pPr>
              <w:pStyle w:val="7"/>
              <w:ind w:left="0" w:leftChars="0" w:right="0" w:rightChars="0" w:firstLine="0" w:firstLineChars="0"/>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资格审查要求概况</w:t>
            </w:r>
          </w:p>
        </w:tc>
        <w:tc>
          <w:tcPr>
            <w:tcW w:w="7878" w:type="dxa"/>
            <w:vAlign w:val="center"/>
          </w:tcPr>
          <w:p>
            <w:pPr>
              <w:pStyle w:val="7"/>
              <w:ind w:left="0" w:leftChars="0" w:right="0" w:rightChars="0" w:firstLine="0" w:firstLineChars="0"/>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46" w:type="dxa"/>
            <w:vAlign w:val="center"/>
          </w:tcPr>
          <w:p>
            <w:pPr>
              <w:pStyle w:val="7"/>
              <w:ind w:left="0" w:leftChars="0" w:right="0" w:rightChars="0" w:firstLine="0" w:firstLineChars="0"/>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资格承诺函</w:t>
            </w:r>
          </w:p>
        </w:tc>
        <w:tc>
          <w:tcPr>
            <w:tcW w:w="7878" w:type="dxa"/>
          </w:tcPr>
          <w:p>
            <w:pPr>
              <w:pStyle w:val="7"/>
              <w:ind w:left="0" w:leftChars="0" w:right="0" w:rightChars="0" w:firstLine="0" w:firstLineChars="0"/>
              <w:jc w:val="both"/>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①本采购包允许供应商采用资格承诺制。采用资格承诺制的供应商，应当根据投标(响应)格式文件要求提供资格承诺函，无需提供《政府采购法实</w:t>
            </w:r>
            <w:bookmarkStart w:id="2" w:name="_GoBack"/>
            <w:bookmarkEnd w:id="2"/>
            <w:r>
              <w:rPr>
                <w:rFonts w:hint="eastAsia" w:asciiTheme="minorEastAsia" w:hAnsiTheme="minorEastAsia" w:eastAsiaTheme="minorEastAsia" w:cstheme="minorEastAsia"/>
                <w:sz w:val="24"/>
                <w:szCs w:val="24"/>
              </w:rPr>
              <w:t>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6.3是否接受联合体投标：</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采购包1：不接受</w:t>
      </w:r>
    </w:p>
    <w:p>
      <w:pPr>
        <w:pStyle w:val="7"/>
        <w:keepNext w:val="0"/>
        <w:keepLines w:val="0"/>
        <w:pageBreakBefore w:val="0"/>
        <w:widowControl/>
        <w:kinsoku/>
        <w:wordWrap/>
        <w:overflowPunct/>
        <w:topLinePunct w:val="0"/>
        <w:autoSpaceDE/>
        <w:autoSpaceDN/>
        <w:bidi w:val="0"/>
        <w:adjustRightInd/>
        <w:snapToGrid/>
        <w:ind w:firstLine="481"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※根据上述资格要求，电子投标文件中应提交的“投标人的资格及资信证明文件”详见招标文件第四章。</w:t>
      </w:r>
    </w:p>
    <w:p>
      <w:pPr>
        <w:pStyle w:val="7"/>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7、招标文件的获取</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7.1、招标文件获取期限：详见招标公告或更正公告，若不一致，以更正公告为准。</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7.2、在招标文件获取期限内，供应商应通过福建省政府采购网上公开信息系统的注册账号（免费注册）并获取招标文件(登录福建省政府采购网上公开信息系统进行文件获取)，否则投标将被拒绝。</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7.3、获取地点及方式：注册账号后，通过福建省政府采购网上公开信息系统以下载方式获取。</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7.4、招标文件售价：0元。</w:t>
      </w:r>
    </w:p>
    <w:p>
      <w:pPr>
        <w:pStyle w:val="7"/>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8、投标截止</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8.1、投标截止时间：详见招标公告或更正公告，若不一致，以更正公告为准。</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8.2、投标人应在投标截止时间前按照福建省政府采购网上公开信息系统设定的操作流程将电子投标文件上传至福建省政府采购网上公开信息系统，否则投标将被拒绝。</w:t>
      </w:r>
    </w:p>
    <w:p>
      <w:pPr>
        <w:pStyle w:val="7"/>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9、开标时间及地点</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详见招标公告或更正公告，若不一致，以更正公告为准。</w:t>
      </w:r>
    </w:p>
    <w:p>
      <w:pPr>
        <w:pStyle w:val="7"/>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10、公告期限</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10.1、招标公告的公告期限：自财政部和福建省财政厅指定的政府采购信息发布媒体最先发布公告之日起5个工作日。</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10.2、招标文件公告期限：招标文件随同招标公告一并发布，其公告期限与招标公告的公告期限保持一致。</w:t>
      </w:r>
    </w:p>
    <w:p>
      <w:pPr>
        <w:pStyle w:val="7"/>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11、采购人：福建省安全生产科学研究院</w:t>
      </w:r>
    </w:p>
    <w:p>
      <w:pPr>
        <w:pStyle w:val="7"/>
        <w:keepNext w:val="0"/>
        <w:keepLines w:val="0"/>
        <w:pageBreakBefore w:val="0"/>
        <w:widowControl/>
        <w:kinsoku/>
        <w:wordWrap/>
        <w:overflowPunct/>
        <w:topLinePunct w:val="0"/>
        <w:autoSpaceDE/>
        <w:autoSpaceDN/>
        <w:bidi w:val="0"/>
        <w:adjustRightInd/>
        <w:snapToGrid/>
        <w:ind w:firstLine="480" w:firstLineChars="200"/>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地址： 福建省福州市北环中路45号</w:t>
      </w:r>
    </w:p>
    <w:p>
      <w:pPr>
        <w:pStyle w:val="7"/>
        <w:keepNext w:val="0"/>
        <w:keepLines w:val="0"/>
        <w:pageBreakBefore w:val="0"/>
        <w:widowControl/>
        <w:kinsoku/>
        <w:wordWrap/>
        <w:overflowPunct/>
        <w:topLinePunct w:val="0"/>
        <w:autoSpaceDE/>
        <w:autoSpaceDN/>
        <w:bidi w:val="0"/>
        <w:adjustRightInd/>
        <w:snapToGrid/>
        <w:ind w:firstLine="480" w:firstLineChars="200"/>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邮编： 350012</w:t>
      </w:r>
    </w:p>
    <w:p>
      <w:pPr>
        <w:pStyle w:val="7"/>
        <w:keepNext w:val="0"/>
        <w:keepLines w:val="0"/>
        <w:pageBreakBefore w:val="0"/>
        <w:widowControl/>
        <w:kinsoku/>
        <w:wordWrap/>
        <w:overflowPunct/>
        <w:topLinePunct w:val="0"/>
        <w:autoSpaceDE/>
        <w:autoSpaceDN/>
        <w:bidi w:val="0"/>
        <w:adjustRightInd/>
        <w:snapToGrid/>
        <w:ind w:firstLine="480" w:firstLineChars="200"/>
        <w:jc w:val="left"/>
        <w:textAlignment w:val="auto"/>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 xml:space="preserve"> 联</w:t>
      </w:r>
      <w:r>
        <w:rPr>
          <w:rFonts w:hint="eastAsia" w:asciiTheme="minorEastAsia" w:hAnsiTheme="minorEastAsia" w:eastAsiaTheme="minorEastAsia" w:cstheme="minorEastAsia"/>
          <w:color w:val="auto"/>
          <w:sz w:val="24"/>
          <w:szCs w:val="24"/>
        </w:rPr>
        <w:t>系</w:t>
      </w:r>
      <w:r>
        <w:rPr>
          <w:rFonts w:hint="eastAsia" w:asciiTheme="minorEastAsia" w:hAnsiTheme="minorEastAsia" w:eastAsiaTheme="minorEastAsia" w:cstheme="minorEastAsia"/>
          <w:sz w:val="24"/>
          <w:szCs w:val="24"/>
        </w:rPr>
        <w:t>人：</w:t>
      </w:r>
      <w:r>
        <w:rPr>
          <w:rFonts w:hint="eastAsia" w:asciiTheme="minorEastAsia" w:hAnsiTheme="minorEastAsia" w:cstheme="minorEastAsia"/>
          <w:sz w:val="24"/>
          <w:szCs w:val="24"/>
          <w:lang w:eastAsia="zh-CN"/>
        </w:rPr>
        <w:t>伊先生</w:t>
      </w:r>
    </w:p>
    <w:p>
      <w:pPr>
        <w:pStyle w:val="7"/>
        <w:keepNext w:val="0"/>
        <w:keepLines w:val="0"/>
        <w:pageBreakBefore w:val="0"/>
        <w:widowControl/>
        <w:kinsoku/>
        <w:wordWrap/>
        <w:overflowPunct/>
        <w:topLinePunct w:val="0"/>
        <w:autoSpaceDE/>
        <w:autoSpaceDN/>
        <w:bidi w:val="0"/>
        <w:adjustRightInd/>
        <w:snapToGrid/>
        <w:ind w:firstLine="480" w:firstLineChars="200"/>
        <w:jc w:val="left"/>
        <w:textAlignment w:val="auto"/>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xml:space="preserve"> 联系电话： </w:t>
      </w:r>
      <w:r>
        <w:rPr>
          <w:rFonts w:hint="eastAsia" w:asciiTheme="minorEastAsia" w:hAnsiTheme="minorEastAsia" w:cstheme="minorEastAsia"/>
          <w:sz w:val="24"/>
          <w:szCs w:val="24"/>
          <w:lang w:val="en-US" w:eastAsia="zh-CN"/>
        </w:rPr>
        <w:t>059187275622</w:t>
      </w:r>
    </w:p>
    <w:p>
      <w:pPr>
        <w:pStyle w:val="7"/>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12、代理机构：福建易星项目管理有限公司</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地址： 福建省福州市鼓楼区北环中路131号时代金典商业大厦810室</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邮编： 350003</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联系人： 胡玲</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联系电话： 18507990109</w:t>
      </w:r>
    </w:p>
    <w:p>
      <w:pPr>
        <w:pStyle w:val="7"/>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heme="minorEastAsia" w:hAnsiTheme="minorEastAsia" w:eastAsiaTheme="minorEastAsia" w:cstheme="minorEastAsia"/>
          <w:b/>
          <w:sz w:val="24"/>
          <w:szCs w:val="24"/>
        </w:rPr>
      </w:pPr>
    </w:p>
    <w:p>
      <w:pPr>
        <w:pStyle w:val="7"/>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附1：账户信息</w:t>
      </w:r>
    </w:p>
    <w:tbl>
      <w:tblPr>
        <w:tblStyle w:val="5"/>
        <w:tblW w:w="962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62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28"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投标保证金账户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28" w:type="dxa"/>
          </w:tcPr>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开户名称： 福建易星项目管理有限公司</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28" w:type="dxa"/>
          </w:tcPr>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开户银行：供应商在福建省政府采购网上公开信息系统获取招标文件后，根据其提示自行选择要缴交的投标保证金托管银行。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9628" w:type="dxa"/>
          </w:tcPr>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28" w:type="dxa"/>
          </w:tcPr>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特别提示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28" w:type="dxa"/>
          </w:tcPr>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1、投标人应认真核对账户信息，将投标保证金汇入以上账户，并自行承担因汇错投标保证金而产生的一切后果。</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2、投标人在转账或电汇的凭证上应按照以下格式注明，以便核对：“（项目编号：***）的投标保证金”。</w:t>
            </w:r>
          </w:p>
        </w:tc>
      </w:tr>
    </w:tbl>
    <w:p>
      <w:pPr>
        <w:pStyle w:val="7"/>
        <w:ind w:firstLine="480"/>
        <w:jc w:val="both"/>
        <w:outlineLvl w:val="9"/>
        <w:rPr>
          <w:rFonts w:hint="eastAsia" w:asciiTheme="minorEastAsia" w:hAnsiTheme="minorEastAsia" w:eastAsiaTheme="minorEastAsia" w:cstheme="minorEastAsia"/>
          <w:b/>
          <w:sz w:val="24"/>
          <w:szCs w:val="24"/>
        </w:rPr>
      </w:pPr>
    </w:p>
    <w:p>
      <w:pPr>
        <w:pStyle w:val="7"/>
        <w:ind w:firstLine="480"/>
        <w:jc w:val="both"/>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附2：采购标的一览表</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采购包预算金额（元）: 4,000,000.00</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采购包最高限价（元）: 4,000,000.00</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采购包保证金金额（元）: 0.00</w:t>
      </w:r>
    </w:p>
    <w:tbl>
      <w:tblPr>
        <w:tblStyle w:val="5"/>
        <w:tblW w:w="961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96"/>
        <w:gridCol w:w="1903"/>
        <w:gridCol w:w="1301"/>
        <w:gridCol w:w="1815"/>
        <w:gridCol w:w="1301"/>
        <w:gridCol w:w="1301"/>
        <w:gridCol w:w="130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6"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1903"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标的名称</w:t>
            </w:r>
          </w:p>
        </w:tc>
        <w:tc>
          <w:tcPr>
            <w:tcW w:w="1301"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数量</w:t>
            </w:r>
          </w:p>
        </w:tc>
        <w:tc>
          <w:tcPr>
            <w:tcW w:w="1815"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标的金额 （元）</w:t>
            </w:r>
          </w:p>
        </w:tc>
        <w:tc>
          <w:tcPr>
            <w:tcW w:w="1301"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计量单位</w:t>
            </w:r>
          </w:p>
        </w:tc>
        <w:tc>
          <w:tcPr>
            <w:tcW w:w="1301"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所属行业</w:t>
            </w:r>
          </w:p>
        </w:tc>
        <w:tc>
          <w:tcPr>
            <w:tcW w:w="1301"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6"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903"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应急科普户外媒体播出服务</w:t>
            </w:r>
          </w:p>
        </w:tc>
        <w:tc>
          <w:tcPr>
            <w:tcW w:w="1301"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1.00</w:t>
            </w:r>
          </w:p>
        </w:tc>
        <w:tc>
          <w:tcPr>
            <w:tcW w:w="1815"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4,000,000.00</w:t>
            </w:r>
          </w:p>
        </w:tc>
        <w:tc>
          <w:tcPr>
            <w:tcW w:w="1301"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w:t>
            </w:r>
          </w:p>
        </w:tc>
        <w:tc>
          <w:tcPr>
            <w:tcW w:w="1301" w:type="dxa"/>
            <w:vAlign w:val="center"/>
          </w:tcPr>
          <w:p>
            <w:pPr>
              <w:pStyle w:val="7"/>
              <w:jc w:val="center"/>
              <w:outlineLvl w:val="9"/>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color w:val="auto"/>
                <w:sz w:val="24"/>
                <w:szCs w:val="24"/>
                <w:lang w:val="en-US" w:eastAsia="zh-CN"/>
              </w:rPr>
              <w:t>其他未列明行业</w:t>
            </w:r>
          </w:p>
        </w:tc>
        <w:tc>
          <w:tcPr>
            <w:tcW w:w="1301"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否</w:t>
            </w:r>
          </w:p>
        </w:tc>
      </w:tr>
    </w:tbl>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（1）报价要求：</w:t>
      </w:r>
    </w:p>
    <w:tbl>
      <w:tblPr>
        <w:tblStyle w:val="5"/>
        <w:tblW w:w="961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43"/>
        <w:gridCol w:w="2097"/>
        <w:gridCol w:w="1187"/>
        <w:gridCol w:w="1230"/>
        <w:gridCol w:w="1678"/>
        <w:gridCol w:w="1383"/>
        <w:gridCol w:w="129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3"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2097"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报价内容</w:t>
            </w:r>
          </w:p>
        </w:tc>
        <w:tc>
          <w:tcPr>
            <w:tcW w:w="1187"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计量单位</w:t>
            </w:r>
          </w:p>
        </w:tc>
        <w:tc>
          <w:tcPr>
            <w:tcW w:w="1230"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报价单位</w:t>
            </w:r>
          </w:p>
        </w:tc>
        <w:tc>
          <w:tcPr>
            <w:tcW w:w="1678"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最高限价</w:t>
            </w:r>
          </w:p>
        </w:tc>
        <w:tc>
          <w:tcPr>
            <w:tcW w:w="1383"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价款形式</w:t>
            </w:r>
          </w:p>
        </w:tc>
        <w:tc>
          <w:tcPr>
            <w:tcW w:w="1297"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3"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097"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应急科普户外媒体播出服务</w:t>
            </w:r>
          </w:p>
        </w:tc>
        <w:tc>
          <w:tcPr>
            <w:tcW w:w="1187"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w:t>
            </w:r>
          </w:p>
        </w:tc>
        <w:tc>
          <w:tcPr>
            <w:tcW w:w="1230"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元</w:t>
            </w:r>
          </w:p>
        </w:tc>
        <w:tc>
          <w:tcPr>
            <w:tcW w:w="1678"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4,000,000.00</w:t>
            </w:r>
          </w:p>
        </w:tc>
        <w:tc>
          <w:tcPr>
            <w:tcW w:w="1383"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总价</w:t>
            </w:r>
          </w:p>
        </w:tc>
        <w:tc>
          <w:tcPr>
            <w:tcW w:w="1297"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tc>
      </w:tr>
    </w:tbl>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（2）报价明细要求：</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应急科普户外媒体播出服务</w:t>
      </w:r>
    </w:p>
    <w:tbl>
      <w:tblPr>
        <w:tblStyle w:val="5"/>
        <w:tblW w:w="961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22"/>
        <w:gridCol w:w="2086"/>
        <w:gridCol w:w="1669"/>
        <w:gridCol w:w="785"/>
        <w:gridCol w:w="791"/>
        <w:gridCol w:w="1770"/>
        <w:gridCol w:w="885"/>
        <w:gridCol w:w="90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2"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2086"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报价明细内容</w:t>
            </w:r>
          </w:p>
        </w:tc>
        <w:tc>
          <w:tcPr>
            <w:tcW w:w="1669"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报价要求</w:t>
            </w:r>
          </w:p>
        </w:tc>
        <w:tc>
          <w:tcPr>
            <w:tcW w:w="785"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计量单位</w:t>
            </w:r>
          </w:p>
        </w:tc>
        <w:tc>
          <w:tcPr>
            <w:tcW w:w="791"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报价单位</w:t>
            </w:r>
          </w:p>
        </w:tc>
        <w:tc>
          <w:tcPr>
            <w:tcW w:w="1770"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最高限价</w:t>
            </w:r>
          </w:p>
        </w:tc>
        <w:tc>
          <w:tcPr>
            <w:tcW w:w="885"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价款形式</w:t>
            </w:r>
          </w:p>
        </w:tc>
        <w:tc>
          <w:tcPr>
            <w:tcW w:w="907"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2"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086"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应急科普户外媒体播出服务</w:t>
            </w:r>
          </w:p>
        </w:tc>
        <w:tc>
          <w:tcPr>
            <w:tcW w:w="1669"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应急科普户外媒体播出服务</w:t>
            </w:r>
          </w:p>
        </w:tc>
        <w:tc>
          <w:tcPr>
            <w:tcW w:w="785"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w:t>
            </w:r>
          </w:p>
        </w:tc>
        <w:tc>
          <w:tcPr>
            <w:tcW w:w="791"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元</w:t>
            </w:r>
          </w:p>
        </w:tc>
        <w:tc>
          <w:tcPr>
            <w:tcW w:w="1770"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4,000,000.00</w:t>
            </w:r>
          </w:p>
        </w:tc>
        <w:tc>
          <w:tcPr>
            <w:tcW w:w="885"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总价</w:t>
            </w:r>
          </w:p>
        </w:tc>
        <w:tc>
          <w:tcPr>
            <w:tcW w:w="907" w:type="dxa"/>
            <w:vAlign w:val="center"/>
          </w:tcPr>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tc>
      </w:tr>
    </w:tbl>
    <w:p>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第二章 投标人须知前附表</w:t>
      </w:r>
    </w:p>
    <w:p>
      <w:pPr>
        <w:pStyle w:val="7"/>
        <w:ind w:left="0" w:leftChars="0" w:firstLine="0" w:firstLineChars="0"/>
        <w:jc w:val="center"/>
        <w:outlineLvl w:val="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28"/>
          <w:szCs w:val="28"/>
        </w:rPr>
        <w:t>一、投标人须知前附表1</w:t>
      </w:r>
    </w:p>
    <w:tbl>
      <w:tblPr>
        <w:tblStyle w:val="5"/>
        <w:tblW w:w="962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05"/>
        <w:gridCol w:w="1411"/>
        <w:gridCol w:w="761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28" w:type="dxa"/>
            <w:gridSpan w:val="3"/>
            <w:vAlign w:val="center"/>
          </w:tcPr>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特别提示：本表与招标文件对应章节的内容若不一致，以本表为准。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5"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141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招标文件</w:t>
            </w:r>
          </w:p>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（第三章）</w:t>
            </w:r>
          </w:p>
        </w:tc>
        <w:tc>
          <w:tcPr>
            <w:tcW w:w="7612"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5"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41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w:t>
            </w:r>
          </w:p>
        </w:tc>
        <w:tc>
          <w:tcPr>
            <w:tcW w:w="7612"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是否组织现场考察或召开开标前答疑会：</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采购包1：不组织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05"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41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10.4</w:t>
            </w:r>
          </w:p>
        </w:tc>
        <w:tc>
          <w:tcPr>
            <w:tcW w:w="7612"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投标文件的份数：</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（1）可读介质（光盘或U盘） 0 份：投标人应将其上传至福建省政府采购网上公开信息系统的电子投标文件在该可读介质中另存 0 份。</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（2）电子投标文件：详见投标人须知前附表2《关于电子招标投标活动的专门规定》。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5"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41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10.7-（1）</w:t>
            </w:r>
          </w:p>
        </w:tc>
        <w:tc>
          <w:tcPr>
            <w:tcW w:w="7612"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是否允许中标人将本项目的非主体、非关键性工作进行分包：</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采购包1：不允许合同分包；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5"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141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10.8-（1）</w:t>
            </w:r>
          </w:p>
        </w:tc>
        <w:tc>
          <w:tcPr>
            <w:tcW w:w="7612"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投标有效期：投标截止时间起 90 个日历日。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5"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141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12.1</w:t>
            </w:r>
          </w:p>
        </w:tc>
        <w:tc>
          <w:tcPr>
            <w:tcW w:w="7612"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确定中标候选人名单：</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05"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141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12.2</w:t>
            </w:r>
          </w:p>
        </w:tc>
        <w:tc>
          <w:tcPr>
            <w:tcW w:w="7612"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本项目中标人的确定（以采购包为单位）：</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采购人应在政府采购招投标管理办法规定的时限内确定中标人。</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（2）若出现中标候选人并列情形，则按照下列方式确定中标人：</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①招标文件规定的方式：</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评标总得分相同出现中标候选人并列的，按投标报价由低到高顺序排列推荐中标候选人，最终得分且投标报价相同的，按“技术部分”的得分从高到低排序推荐中标候选人；若技术部分得分也相同的，则按“商务部分”的得分从高到低排序推荐中标候选人；若技术部分得分与商务部分得分也相同的，则评标委员会在有关监督人员的监督下通过随机抽签的形式确定。</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②若本款第①点规定方式为“无”，则按照下列方式确定：无</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③若本款第①、②点规定方式均为“无”，则按照下列方式确定：随机抽取。</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（3）本项目确定的中标人家数：</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5"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141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13.2</w:t>
            </w:r>
          </w:p>
        </w:tc>
        <w:tc>
          <w:tcPr>
            <w:tcW w:w="7612"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合同签订时限： 自中标通知书发出之日起30个日历日内。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5"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141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15.1-（2）</w:t>
            </w:r>
          </w:p>
        </w:tc>
        <w:tc>
          <w:tcPr>
            <w:tcW w:w="7612"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质疑函原件应采用下列方式提交：书面形式。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5"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141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15.4</w:t>
            </w:r>
          </w:p>
        </w:tc>
        <w:tc>
          <w:tcPr>
            <w:tcW w:w="7612"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招标文件的质疑</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（1）潜在投标人可在质疑时效期间内对招标文件以书面形式提出质疑。</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（2）质疑时效期间：应在依法获取招标文件之日起7个工作日内向 福建易星项目管理有限公司 提出，依法获取招标文件的时间以福建省政府采购网上公开信息系统记载的为准。</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※除上述规定外，对招标文件提出的质疑还应符合招标文件第三章第15.1条的有关规定。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05"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141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16.1</w:t>
            </w:r>
          </w:p>
        </w:tc>
        <w:tc>
          <w:tcPr>
            <w:tcW w:w="7612"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监督管理部门： 福建省财政厅政府采购监督管理办公室 （仅限依法进行政府采购的货物或服务类项目）。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5"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p>
        </w:tc>
        <w:tc>
          <w:tcPr>
            <w:tcW w:w="141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18.1</w:t>
            </w:r>
          </w:p>
        </w:tc>
        <w:tc>
          <w:tcPr>
            <w:tcW w:w="7612"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财政部和福建省财政厅指定的政府采购信息发布媒体（以下简称：“指定媒体”）：</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（1）中国政府采购网，网址www.ccgp.gov.cn。</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（2）中国政府采购网福建分网（福建省政府采购网），网址zfcg.czt.fujian.gov.cn。</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※若出现上述指定媒体信息不一致情形，应以中国政府采购网福建分网（福建省政府采购网）发布的为准。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5"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c>
          <w:tcPr>
            <w:tcW w:w="141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w:t>
            </w:r>
          </w:p>
        </w:tc>
        <w:tc>
          <w:tcPr>
            <w:tcW w:w="7612"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其他事项：</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(1)本项目代理服务费：</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本项目收取代理服务费</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代理服务费用收取对象：中标/成交供应商</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代理服务费收费标准：①以中标金额为计算基数，依据差额定率累进法计算收取：100万元以下按照1.5%收取；100</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500万元按照0.8%收取。 ②中标人应在领取中标通知书前一次性支付代理服务费至以下账户： 开户名：福建易星项目管理有限公司 开户行：中国银行股份有限公司福建省分行 账号：413079955313</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(2)其他：</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1、质疑受理的其他要求： ①质疑人为法人或其他组织的，质疑函需加盖质疑人单位公章；否则质疑将不予受理。 ②在质疑期内质疑人须一次性提出针对同一采购程序环节的质疑，二（多）次质疑不予受理。 ③质疑人在递交质疑函时除应提供本招标文件规定的相关材料外，还须提供质疑人已在福建省政府采购网上公开信息系统上获取招标文件的证明文件（体现查看时间或获取招标文件时间，查看时间或获取招标文件时间以福建省政府采购网上公开信息系统记载为准。），否则递交的质疑函将不予受理。④质疑接收方式：书面方式；接收地点：福州市鼓楼区福州市鼓楼区北环中路131号时代金典商业大厦810室，福建易星项目管理有限公司⑤收到质疑函的时间以我公司签收时间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16" w:type="dxa"/>
            <w:gridSpan w:val="2"/>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w:t>
            </w:r>
          </w:p>
        </w:tc>
        <w:tc>
          <w:tcPr>
            <w:tcW w:w="7612"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后有投标人须知前附表2，请勿遗漏。</w:t>
            </w:r>
          </w:p>
        </w:tc>
      </w:tr>
    </w:tbl>
    <w:p>
      <w:pPr>
        <w:rPr>
          <w:rFonts w:hint="eastAsia" w:asciiTheme="minorEastAsia" w:hAnsiTheme="minorEastAsia" w:eastAsiaTheme="minorEastAsia" w:cstheme="minorEastAsia"/>
          <w:b/>
          <w:sz w:val="28"/>
        </w:rPr>
      </w:pPr>
      <w:r>
        <w:rPr>
          <w:rFonts w:hint="eastAsia" w:asciiTheme="minorEastAsia" w:hAnsiTheme="minorEastAsia" w:eastAsiaTheme="minorEastAsia" w:cstheme="minorEastAsia"/>
          <w:b/>
          <w:sz w:val="28"/>
        </w:rPr>
        <w:br w:type="page"/>
      </w:r>
    </w:p>
    <w:p>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二、投标人须知前附表2</w:t>
      </w:r>
    </w:p>
    <w:tbl>
      <w:tblPr>
        <w:tblStyle w:val="5"/>
        <w:tblW w:w="962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852"/>
        <w:gridCol w:w="777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28" w:type="dxa"/>
            <w:gridSpan w:val="2"/>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52"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7776"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52"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7776"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（1）电子招标投标活动的专门规定适用本项目电子招标投标活动。</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（2）将招标文件</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 的内容修正为下列内容：</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 后适用本项目的电子招标投标活动。</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（3）将下列内容增列为招标文件的组成部分（以下简称：“增列内容”）适用本项目的电子招标投标活动，若增列内容与招标文件其他章节内容有冲突，应以增列内容为准：</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①电子招标投标活动的具体操作流程以福建省政府采购网上公开信息系统设定的为准。</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②关于电子投标文件：</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a.投标人应按照福建省政府采购网上公开信息系统设定的评审节点编制电子投标文件，否则资格审查小组、评标委员会将按照不利于投标人的内容进行认定。</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③关于证明材料或资料：</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b.若投标人提供注明“复印件无效”或“复印无效”的证明材料或资料，应结合上文a条款进行判定，若招标文件未要求投标人提供原件，投标人提供原件，复印件（含扫描件）均视为满足招标文件要求。</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④关于“全称”、“投标人代表签字”及“加盖单位公章”：</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a.在电子投标文件中，涉及“全称”和“投标人代表签字”的内容可使用打字录入方式完成。</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b.在电子投标文件中，涉及“加盖单位公章”的内容应使用投标人的CA证书完成，否则投标无效。</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c.在电子投标文件中，若投标人按照本增列内容第④点第b项规定加盖其单位公章，则出现无全称、或投标人代表未签字等情形，不视为投标无效。</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⑤关于投标人的CA证书：</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a.投标人的CA证书应在系统规定时间内使用CA证书进行电子投标文件的解密操作，逾期未解密的视为放弃投标。</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b.投标人的CA证书可采用信封（包括但不限于：信封、档案袋、文件袋等）作为外包装进行单独包装。外包装密封、不密封皆可。</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c.投标人的CA证书或外包装应标记“项目名称、项目编号、投标人的全称”等内容，以方便识别、使用。</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d.投标人的CA证书应能正常、有效使用，否则产生不利后果由投标人承担责任。</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⑥关于投标截止时间过后</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a.未按招标文件规定提交投标保证金的，其投标将按无效投标处理。</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b.有下列情形之一的，其投标无效,其保证金不予退还或通过投标保函进行索赔：</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b1不同投标人的电子投标文件具有相同内部识别码；</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b2不同投标人的投标保证金从同一单位或个人的账户转出；</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b3投标人的投标保证金同一采购包下有其他投标人提交的投标保证金；</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b4不同投标人存在串通投标的其他情形。</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⑧其他：</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关于远程开标的规定：①本项目支持远程开标，投标人可通过远程线上参与开标，具体系统操作指南详见福建省政府采购网上公开信息系统首页上相关操作手册。②本项目开标过程中远程解密操作时限为30分钟,远程签章操作时限为10分钟，请投标人务必密切关注实时开标流程，完成远程解密、远程签章。③投标人应确保自身设施、设备、网络环境状况良好，在开标过程中因投标人自身原因未在规定的操作时间内完成投标文件的解密，逾期未解密的，视为自行放弃投标。投标人未在规定的操作时间内完成远程签章的，视为默认开标结果。④在开标过程中，因系统故障等导致无法继续进行开标的，投标人须配合等待故障处理，待故障解除后继续开标。</w:t>
            </w:r>
          </w:p>
        </w:tc>
      </w:tr>
    </w:tbl>
    <w:p>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第三章 投标人须知</w:t>
      </w:r>
    </w:p>
    <w:p>
      <w:pPr>
        <w:pStyle w:val="7"/>
        <w:ind w:firstLine="480"/>
        <w:jc w:val="both"/>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一、总则</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1、适用范围</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1.1适用于招标文件载明项目的政府采购活动（以下简称：“本次采购活动”）。</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2、定义</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2.1“采购标的”指招标文件载明的需要采购的货物或服务。</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2.2“潜在投标人”指按照招标文件第一章第7条规定获取招标文件且有意向参加本项目投标的供应商。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2.3“投标人”指按照招标文件第一章第7条规定获取招标文件并参加本项目投标的供应商。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2.4“单位负责人”指单位法定代表人或法律、法规规定代表单位行使职权的主要负责人。</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2.5“投标人代表”指投标人的单位负责人或“单位负责人授权书”中载明的接受授权方。</w:t>
      </w:r>
    </w:p>
    <w:p>
      <w:pPr>
        <w:pStyle w:val="7"/>
        <w:ind w:firstLine="480"/>
        <w:jc w:val="both"/>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二、投标人</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3、合格投标人</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3.1一般规定</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（2）投标人的资格要求：详见招标文件第一章。</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3.2若本项目接受联合体投标且投标人为联合体，则联合体各方应遵守本章第3.1条规定，同时还应遵守下列规定：</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（1）联合体各方应提交联合体协议，联合体协议应符合招标文件规定。</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（2）联合体各方不得再单独参加或与其他供应商另外组成联合体参加同一合同项下的投标。</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（3）联合体各方应共同与采购人签订政府采购合同，就政府采购合同约定的事项对采购人承担连带责任。</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（5）联合体一方放弃中标的，视为联合体整体放弃中标，联合体各方承担连带责任。</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（6）如本项目不接受联合体投标而投标人为联合体的，或者本项目接受联合体投标但投标人组成的联合体不符合本章第3.2条规定的，投标无效。</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4、投标费用</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4.1除招标文件另有规定外，投标人应自行承担其参加本项目投标所涉及的一切费用。</w:t>
      </w:r>
    </w:p>
    <w:p>
      <w:pPr>
        <w:pStyle w:val="7"/>
        <w:ind w:firstLine="480"/>
        <w:jc w:val="both"/>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三、招标</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5、招标文件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5.1招标文件由下述部分组成：</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（1）投标邀请</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（2）投标人须知前附表（表1、2）</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（3）投标人须知</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（4）资格审查与评标</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（5）招标内容及要求</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（6）政府采购合同（参考文本）</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（7）电子投标文件格式</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（8）按照招标文件规定作为招标文件组成部分的其他内容（若有）</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5.2招标文件的澄清或修改</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福建易星项目管理有限公司 可对已发出的招标文件进行必要的澄清或修改，但不得对招标文件载明的采购标的和投标人的资格要求进行改变。</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（2）除本章第5.2条第（3）款规定情形外，澄清或修改的内容可能影响电子投标文件编制的， 福建易星项目管理有限公司 将在投标截止时间至少15个日历日前，在招标文件载明的指定媒体以更正公告的形式发布澄清或修改的内容。不足15个日历日的， 福建易星项目管理有限公司 将顺延投标截止时间及开标时间， 福建易星项目管理有限公司 和投标人受原投标截止时间及开标时间制约的所有权利和义务均延长至新的投标截止时间及开标时间。</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（3）澄清或修改的内容可能改变招标文件载明的采购标的和投标人的资格要求的，本次采购活动结束， 福建易星项目管理有限公司 将依法组织后续采购活动（包括但不限于：重新招标、采用其他方式采购等）。</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6、现场考察或开标前答疑会</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6.1是否组织现场考察或召开开标前答疑会：详见招标文件第二章。</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7、更正公告</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7.1若 福建易星项目管理有限公司 发布更正公告，则更正公告及其所发布的内容或信息（包括但不限于：招标文件的澄清或修改、现场考察或答疑会的有关事宜等）作为招标文件组成部分，对投标人具有约束力。</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7.2更正公告作为 福建易星项目管理有限公司 通知所有潜在投标人的书面形式。</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8、终止公告</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8.1若出现因重大变故导致采购任务取消情形， 福建易星项目管理有限公司 可终止招标并发布终止公告。</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8.2终止公告作为 福建易星项目管理有限公司 通知所有潜在投标人的书面形式。</w:t>
      </w:r>
    </w:p>
    <w:p>
      <w:pPr>
        <w:pStyle w:val="7"/>
        <w:ind w:firstLine="480"/>
        <w:jc w:val="both"/>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四、投标</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9、投标</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9.1投标人可对招标文件载明的全部或部分采购包进行投标。</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9.2投标人应对同一个采购包内的所有内容进行完整投标，否则投标无效。</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9.3投标人代表只能接受一个投标人的授权参加投标，否则投标无效。</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9.4单位负责人为同一人或存在直接控股、管理关系的不同供应商，不得同时参加同一合同项下的投标，否则投标无效。</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9.5为本项目提供整体设计、规范编制或项目管理、监理、检测等服务的供应商，不得参加本项目除整体设计、规范编制和项目管理、监理、检测等服务外的采购活动，否则投标无效。</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9.6列入失信被执行人、重大税收违法案件当事人名单、政府采购严重违法失信行为记录名单及其他不符合政府采购法第二十二条规定条件的供应商，不得参加投标，否则投标无效。</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9.7有下列情形之一的，视为投标人串通投标，其投标无效：</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（1）不同投标人的电子投标文件由同一单位或个人编制；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（2）不同投标人委托同一单位或个人办理投标事宜；</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（3）不同投标人的电子投标文件载明的项目管理成员或联系人员为同一人；</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（4）不同投标人的电子投标文件异常一致或投标报价呈规律性差异；</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（5）不同投标人的电子投标文件相互混装；</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（6）不同投标人的投标保证金从同一单位或个人的账户转出；</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（7）有关法律、法规和规章及招标文件规定的其他串通投标情形。</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10、电子投标文件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10.1电子投标文件的编制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（1）投标人应先仔细阅读招标文件的全部内容后，再进行电子投标文件的编制。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（2）电子投标文件应按照本章第10.2条规定编制其组成部分。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（3）电子投标文件应满足招标文件提出的实质性要求和条件，并保证其所提交的全部资料是不可割离且真实、有效、准确、完整和不具有任何误导性的，否则造成不利后果由投标人承担责任。</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10.2电子投标文件由下述部分组成：</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（1）资格及资信证明部分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①投标函</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②投标人的资格及资信证明文件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③投标保证金</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（2）报价部分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①开标（报价）一览表</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②投标（响应）报价明细表</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③招标文件规定的价格扣除证明材料（若有）</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④招标文件规定的加分证明材料（若有）</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（3）技术商务部分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①标的说明一览表</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②技术和服务要求响应表</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③商务条件响应表</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④投标人提交的其他资料（若有）</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⑤招标文件规定作为电子投标文件组成部分的其他内容（若有）</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10.3电子投标文件的语言</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（1）除招标文件另有规定外，电子投标文件应使用中文文本，若有不同文本，以中文文本为准。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10.4投标文件的份数：详见招标文件第二章。</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10.5电子投标文件的格式</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（1）除招标文件另有规定外，电子投标文件应使用招标文件第七章规定的格式。</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（2）除招标文件另有规定外，电子投标文件应使用不能擦去的墨料或墨水打印、书写或复印。</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（3）除招标文件另有规定外，电子投标文件应使用人民币作为计量货币。</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（4）除招标文件另有规定外，签署、盖章应遵守下列规定：</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①电子投标文件应加盖投标人的单位公章。若投标人代表为单位授权的委托代理人，应提供“单位授权书”。</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②电子投标文件应没有涂改或行间插字，除非这些改动是根据 福建易星项目管理有限公司 的指示进行的，或是为改正投标人造成的应修改的错误而进行的。若有前述改动，应按照下列规定之一对改动处进行处理：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a.投标人代表签字确认；</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b.加盖投标人的单位公章或校正章。</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10.6投标报价</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（1）投标报价超出最高限价将导致投标无效。</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（2）最高限价由采购人根据价格测算情况，在预算金额的额度内合理设定。最高限价不得超出预算金额。</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（3）除招标文件另有规定外，电子投标文件不能出现任何选择性的投标报价，即每一个采购包和品目号的采购标的都只能有一个投标报价。任何选择性的投标报价将导致投标无效。</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10.7分包</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（1）是否允许中标人将本项目的非主体、非关键性工作进行分包：详见招标文件第二章。</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（3）招标文件允许中标人将非主体、非关键性工作进行分包的项目，有下列情形之一的，中标人不得分包：</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①电子投标文件中未载明分包承担主体；</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②电子投标文件载明的分包承担主体不具备相应资质条件；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③电子投标文件载明的分包承担主体拟再次分包；</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④享受中小企业扶持政策获得政府采购合同的，小微企业不得将合同分包给大中型企业，中型企业不得将合同分包给大型企业。</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10.8投标有效期</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（1）招标文件载明的投标有效期：详见招标文件第二章。</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（2）电子投标文件承诺的投标有效期不得少于招标文件载明的投标有效期，否则投标无效。</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（3）根据本次采购活动的需要， 福建易星项目管理有限公司 可于投标有效期届满之前书面要求投标人延长投标有效期，投标人应在 福建易星项目管理有限公司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10.9投标保证金</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（1）投标保证金作为投标人按照招标文件规定履行相应投标责任、义务的约束及担保。</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（2）投标人以电子保函形式提交投标保证金的，保函的有效期应等于或长于电子投标文件承诺的投标有效期，否则投标无效。</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（3）提交</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①投标人以汇款形式缴纳投标保证金的，应从其银行账户（基本存款账户）按照下列方式：公对公转账方式向招标文件载明的投标保证金账户提交投标保证金，具体金额详见招标文件第一章。</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③其他形式：</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④若本项目接受联合体投标且投标人为联合体，则联合体中的牵头方应按照本章第10.9条第（3）款第①、②、③点规定提交投标保证金。</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※除招标文件另有规定外，未按照上述规定提交投标保证金将导致资格审查不合格。</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（4）退还</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①在投标截止时间前撤回已提交的电子投标文件的投标人，其投标保证金将在 福建易星项目管理有限公司 收到投标人书面撤回通知之日起5个工作日内退回原账户。</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②未中标人的投标保证金将在中标通知书发出之日起5个工作日内退回原账户。</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③中标人的投标保证金将在政府采购合同签订之日起5个工作日内退回原账户；合同签订之日以福建省政府采购网上公开信息系统记载的为准。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④终止招标的， 福建易星项目管理有限公司 将在终止公告发布之日起5个工作日内退回已收取的投标保证金及其在银行产生的孳息。</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⑤除招标文件另有规定外，质疑或投诉涉及的投标人，若投标保证金尚未退还，则待质疑或投诉处理完毕后不计利息原额退还。</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※本章第10.9条第（4）款第①、②、③点规定的投标保证金退还时限不包括因投标人自身原因导致无法及时退还而增加的时间。</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（6）有下列情形之一的，投标保证金将不予退还或通过投标保函进行索赔：</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①投标人串通投标；</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②投标人提供虚假材料；</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③投标人采取不正当手段诋毁、排挤其他投标人；</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④投标截止时间后，投标人在投标有效期内撤销电子投标文件；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⑤招标文件规定的其他不予退还情形；</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⑥中标人有下列情形之一的：</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a.除不可抗力外，因中标人自身原因未在中标通知书要求的期限内与采购人签订政府采购合同；</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b.未按照招标文件、投标文件的约定签订政府采购合同或提交履约保证金。</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※若上述投标保证金不予退还情形给采购人（采购代理机构）造成损失，则投标人还要承担相应的赔偿责任。</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10.10电子投标文件的提交</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（1）一个投标人只能提交一个电子投标文件，并按照招标文件第一章规定在系统上完成上传、解密操作。</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10.11电子投标文件的补充、修改或撤回</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（1）投标截止时间前，投标人可对所提交的电子投标文件进行补充、修改或撤回，并书面通知 福建易星项目管理有限公司 。</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（2）补充、修改的内容应按照本章第10.5条第（4）款规定进行签署、盖章，并按照本章第10.10条规定提交，否则将被拒收。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※按照上述规定提交的补充、修改内容作为电子投标文件组成部分。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10.12除招标文件另有规定外，有下列情形之一的，投标无效：</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（1）电子投标文件未按照招标文件要求签署、盖章；</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（2）不符合招标文件中规定的资格要求；</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（3）投标报价超过招标文件中规定的预算金额或最高限价；</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（4）电子投标文件含有采购人不能接受的附加条件；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（5）有关法律、法规和规章及招标文件规定的其他无效情形。</w:t>
      </w:r>
    </w:p>
    <w:p>
      <w:pPr>
        <w:pStyle w:val="7"/>
        <w:jc w:val="both"/>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五、开标</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11、开标</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 福建易星项目管理有限公司 将在招标文件载明的开标时间及地点主持召开开标会，并邀请投标人参加。</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11.2开标会的主持人、唱标人、记录人及其他工作人员（若有）均由 福建易星项目管理有限公司 派出，现场监督人员（若有）可由有关方面派出。</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11.4开标会应遵守下列规定：</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（3）唱标结束后，参加现场开标会的投标人代表应对开标记录进行签字确认，通过远程参与开标流程的投标人须在系统远程签章开启后，在系统规定时间内对开标结果进行签章确认。</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（5）若投标人未到开标现场参加开标会，也未通过远程参加开标会的，视同认可开标结果。</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福建易星项目管理有限公司 提出任何疑义或要求（包括质疑）。</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11.5投标截止时间后，参加投标的投标人不足三家的，不进行开标。同时，本次采购活动结束， 福建易星项目管理有限公司 将依法组织后续采购活动（包括但不限于：重新招标、采用其他方式采购等）。</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11.6投标截止时间后撤销投标的处理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投标截止时间后，投标人在投标有效期内撤销投标的，其撤销投标的行为无效。</w:t>
      </w:r>
    </w:p>
    <w:p>
      <w:pPr>
        <w:pStyle w:val="7"/>
        <w:jc w:val="both"/>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六、中标与政府采购合同</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12、中标</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12.1本项目推荐的中标候选人家数：详见招标文件第二章。</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12.2本项目中标人的确定：详见招标文件第二章。</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12.3中标公告</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（1）中标人确定之日起2个工作日内， 福建易星项目管理有限公司 将在招标文件载明的指定媒体以中标公告的形式发布中标结果。</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（2）中标公告的公告期限为1个工作日。</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12.4中标通知书</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（1）中标公告发布的同时， 福建易星项目管理有限公司 将向中标人发出中标通知书。</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（2）中标通知书发出后，采购人不得违法改变中标结果，中标人无正当理由不得放弃中标。</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13、政府采购合同</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13.1签订政府采购合同应遵守政府采购法及实施条例的规定，不得对招标文件确定的事项和中标人的电子投标文件作实质性修改。采购人不得向中标人提出任何不合理的要求作为政府采购合同的签订条件。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13.2签订时限：详见须知前附表1的13.2。</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13.3政府采购合同的履行、违约责任和解决争议的方法等适用民法典。</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13.4采购人与中标人应根据政府采购合同的约定依法履行合同义务。</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13.5政府采购合同履行过程中，采购人若需追加与合同标的相同的货物或服务，则追加采购金额不得超过原合同采购金额的10%。</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13.6中标人在政府采购合同履行过程中应遵守有关法律、法规和规章的强制性规定（即使前述强制性规定有可能在招标文件中未予列明）。</w:t>
      </w:r>
    </w:p>
    <w:p>
      <w:pPr>
        <w:pStyle w:val="7"/>
        <w:jc w:val="both"/>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七、询问、质疑与投诉</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14、询问</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14.1潜在投标人或投标人对本次采购活动的有关事项若有疑问，可向 福建易星项目管理有限公司 提出询问， 福建易星项目管理有限公司 将按照政府采购法及实施条例的有关规定进行答复。</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15、质疑</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15.1针对同一采购程序环节的质疑应在政府采购法及实施条例的时限内一次性提出，对一个项目的不同采购包提出质疑的，应当将各采购包质疑事项集中在一份质疑函中提出，并同时符合下列条件：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（1）对招标文件提出质疑的，质疑人应为潜在投标人，且两者的身份、名称等均应保持一致。对采购过程、结果提出质疑的，质疑人应为投标人，且两者的身份、名称等均应保持一致。</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（2）质疑人应按照招标文件第二章规定方式提交质疑函。</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（3）质疑函应包括下列主要内容：</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①质疑人的基本信息，至少包括：全称、地址、邮政编码等；</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②所质疑项目的基本信息，至少包括：项目编号、项目名称等；</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③所质疑的具体事项（以下简称：“质疑事项”）；</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④针对质疑事项提出的明确请求，前述明确请求指质疑人提出质疑的目的以及希望 福建易星项目管理有限公司 对其质疑作出的处理结果，如：暂停招标投标活动、修改招标文件、停止或纠正违法违规行为、中标结果无效、废标、重新招标等；</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⑤针对质疑事项导致质疑人自身权益受到损害的必要证明材料，至少包括：</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a.质疑人代表的身份证明材料：</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a2若本项目接受自然人投标且质疑人为自然人的，提供本人的身份证复印件。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b.其他证明材料（即事实依据和必要的法律依据）包括但不限于下列材料：</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b1所质疑的具体事项是与自己有利害关系的证明材料；</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b2质疑函所述事实存在的证明材料，如：采购文件、采购过程或中标结果违法违规或不符合采购文件要求等证明材料；</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b3依法应终止采购程序的证明材料；</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b4应重新采购的证明材料；</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b5采购文件、采购过程或中标、成交结果损害自己合法权益的证明材料等；</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⑥质疑人代表及其联系方法的信息，至少包括：姓名、手机、电子信箱、邮寄地址等。</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⑦提出质疑的日期。</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※质疑人为法人或其他组织的，质疑函应由单位负责人或委托代理人签字或盖章，并加盖投标人的单位公章。质疑人为自然人的，质疑函应由本人签字。</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15.2对不符合本章第15.1条规定的质疑，将按照下列规定进行处理：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（1）不符合其中第（1）、（2）条规定的，书面告知质疑人不予受理及其理由。</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（2）不符合其中第（3）条规定的，书面告知质疑人修改、补充后在规定时限内重新提交质疑函。</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15.3对符合本章第15.1条规定的质疑，将按照政府采购法及实施条例、政府采购质疑和投诉办法的有关规定进行答复。</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15.4招标文件的质疑：详见招标文件第二章。</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16、投诉</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16.1若对质疑答复不满意或质疑答复未在答复期限内作出，质疑人可在答复期限届满之日起15个工作日内按照政府采购质疑和投诉办法的有关规定向招标文件第二章载明的本项目监督管理部门提起投诉。</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16.2投诉应有明确的请求和必要的证明材料，投诉的事项不得超出已质疑事项的范围。</w:t>
      </w:r>
    </w:p>
    <w:p>
      <w:pPr>
        <w:pStyle w:val="7"/>
        <w:jc w:val="both"/>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八、政府采购政策</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17、政府采购政策由财政部根据国家的经济和社会发展政策并会同国家有关部委制定，包括但不限于下列具体政策要求：</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17.1本国产品与非本国产品相关约定</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17.1.1本国产品</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（3）对本国产品的支持政策 政府采购活动中既有本国产品又有非本国产品参与竞争的，依法对本国产品给予价格评审优惠，对本国产品的报价给予20%的价格扣除，用扣除后的价格参与评审。</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17.1.2 非本国产品</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17.1.2.1 进口产品：指通过中国海关报关验放进入中国境内且产自关境外的产品，其中：</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（2）凡在海关特殊监管区域内企业生产或加工（包括从境外进口料件）销往境内其他地区的产品，不作为政府采购项下进口产品。</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（3）对从境外进入海关特殊监管区域，再经办理报关手续后从海关特殊监管区进入境内其他地区的产品，认定为进口产品。</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（4）招标文件列明不允许或未列明允许进口产品参加投标的，均视为拒绝进口产品参加投标。</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17.1.2.2 其它非本国产品：指非进口产品且不符合本国产品标准的产品。</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（1）中小企业指符合下列条件的中型、小型、微型企业：</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②符合中小企业划分标准的个体工商户，在政府采购活动中视同中小企业。</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（2）在政府采购活动中，供应商提供的货物、工程或者服务符合下列情形的，享受本办法规定的中小企业扶持政策：</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①在货物采购项目中，货物由中小企业制造，即货物由中小企业生产且使用该中小企业商号或者注册商标；</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②在工程采购项目中，工程由中小企业承建，即工程施工单位为中小企业；</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③在服务采购项目中，服务由中小企业承接，即提供服务的人员为中小企业依照《中华人民共和国劳动合同法》订立劳动合同的从业人员。</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在货物采购项目中，供应商提供的货物既有中小企业制造货物，也有大型企业制造货物的，不享受本办法规定的中小企业扶持政策。</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以联合体形式参加政府采购活动，联合体各方均为中小企业的，联合体视同中小企业。其中，联合体各方均为小微企业的，联合体视同小微企业。</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（3）投标人应当按照招标文件明确的采购标的对应行业的划分标准出具中小企业声明函。</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①监狱企业参加采购活动时，应提供由省级以上监狱管理局、戒毒管理局（含新疆生产建设兵团）出具的属于监狱企业的证明文件。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②监狱企业视同小型、微型企业。</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（5）残疾人福利性单位指同时符合下列条件的单位：</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①安置的残疾人占本单位在职职工人数的比例不低于25%（含25%），并且安置的残疾人人数不少于10人（含10人）；</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②依法与安置的每位残疾人签订了一年以上（含一年）的劳动合同或服务协议；</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③为安置的每位残疾人按月足额缴纳了基本养老保险、基本医疗保险、失业保险、工伤保险和生育保险等社会保险费；</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④通过银行等金融机构向安置的每位残疾人，按月支付了不低于单位所在区县适用的经省级人民政府批准的月最低工资标准的工资；</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⑤提供本单位制造的货物、承担的工程或服务，或提供其他残疾人福利性单位制造的货物（不包括使用非残疾人福利性单位注册商标的货物）。</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17.4信用记录指由财政部确定的有关网站提供的相关主体信用信息。信用记录的查询及使用应符合财政部文件（财库[2016]125号）规定。</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17.5为落实政府采购政策需满足的要求：详见招标文件第一章。</w:t>
      </w:r>
    </w:p>
    <w:p>
      <w:pPr>
        <w:pStyle w:val="7"/>
        <w:jc w:val="both"/>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九、本项目的有关信息</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18、本项目的有关信息，包括但不限于：招标公告、更正公告（若有）、招标文件、招标文件的澄清或修改（若有）、中标公告、终止公告（若有）、废标公告（若有）等都将在招标文件载明的指定媒体发布。</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18.1指定媒体：详见招标文件第二章。</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18.2本项目的潜在投标人或投标人应随时关注指定媒体，否则产生不利后果由其自行承担。</w:t>
      </w:r>
    </w:p>
    <w:p>
      <w:pPr>
        <w:pStyle w:val="7"/>
        <w:jc w:val="both"/>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十、其他事项</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19、其他事项：</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19.2其他：详见招标文件第二章。</w:t>
      </w:r>
    </w:p>
    <w:p>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第四章 资格审查与评标</w:t>
      </w:r>
    </w:p>
    <w:p>
      <w:pPr>
        <w:pStyle w:val="7"/>
        <w:jc w:val="both"/>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一、资格审查</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1、开标结束后，由 福建易星项目管理有限公司 负责资格审查小组的组建及资格审查工作的组织。</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1.1资格审查小组</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审查小组由3人组成，并负责具体审查事务，其中由采购人派出的采购人代表至少1人，由福建易星项目管理有限公司派出的工作人员至少1人，其余1人可为采购人代表或福建易星项目管理有限公司的工作人员。</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1.2资格审查的依据是招标文件和电子投标文件。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1.3资格审查的范围及内容：电子投标文件（资格及资信证明部分），具体如下：</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（1）“投标函”；</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（2）“投标人的资格及资信证明文件”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①一般资格证明文件：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5"/>
        <w:tblW w:w="961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70"/>
        <w:gridCol w:w="1861"/>
        <w:gridCol w:w="69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0"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186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资格审查要求概况</w:t>
            </w:r>
          </w:p>
        </w:tc>
        <w:tc>
          <w:tcPr>
            <w:tcW w:w="6987"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0"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86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单位授权书</w:t>
            </w:r>
          </w:p>
        </w:tc>
        <w:tc>
          <w:tcPr>
            <w:tcW w:w="6987" w:type="dxa"/>
          </w:tcPr>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0"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86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营业执照等证明文件</w:t>
            </w:r>
          </w:p>
        </w:tc>
        <w:tc>
          <w:tcPr>
            <w:tcW w:w="6987" w:type="dxa"/>
          </w:tcPr>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770"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86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提供财务状况报告(财务报告、或资信证明）</w:t>
            </w:r>
          </w:p>
        </w:tc>
        <w:tc>
          <w:tcPr>
            <w:tcW w:w="6987" w:type="dxa"/>
          </w:tcPr>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0"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186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依法缴纳税收证明材料</w:t>
            </w:r>
          </w:p>
        </w:tc>
        <w:tc>
          <w:tcPr>
            <w:tcW w:w="6987" w:type="dxa"/>
          </w:tcPr>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0"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186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依法缴纳社会保障资金证明材料</w:t>
            </w:r>
          </w:p>
        </w:tc>
        <w:tc>
          <w:tcPr>
            <w:tcW w:w="6987" w:type="dxa"/>
          </w:tcPr>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0"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186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具备履行合同所必需设备和专业技术能力的声明函(若有)</w:t>
            </w:r>
          </w:p>
        </w:tc>
        <w:tc>
          <w:tcPr>
            <w:tcW w:w="6987" w:type="dxa"/>
          </w:tcPr>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770"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186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参加采购活动前三年内在经营活动中没有重大违法记录的声明</w:t>
            </w:r>
          </w:p>
        </w:tc>
        <w:tc>
          <w:tcPr>
            <w:tcW w:w="6987" w:type="dxa"/>
          </w:tcPr>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0"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186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信用记录查询结果</w:t>
            </w:r>
          </w:p>
        </w:tc>
        <w:tc>
          <w:tcPr>
            <w:tcW w:w="6987" w:type="dxa"/>
          </w:tcPr>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0"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186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中小企业声明函（以资格条件落实中小企业扶持政策时适用 ）</w:t>
            </w:r>
          </w:p>
        </w:tc>
        <w:tc>
          <w:tcPr>
            <w:tcW w:w="6987" w:type="dxa"/>
          </w:tcPr>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0"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186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联合体协议（若有）</w:t>
            </w:r>
          </w:p>
        </w:tc>
        <w:tc>
          <w:tcPr>
            <w:tcW w:w="6987" w:type="dxa"/>
          </w:tcPr>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①招标文件接受联合体投标且投标人为联合体的，投标人应提供本协议；否则无须提供。 ②本协议由委托代理人签字或盖章的，应按照招标文件第七章载明的格式提供“单位授权书”。</w:t>
            </w:r>
          </w:p>
        </w:tc>
      </w:tr>
    </w:tbl>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※备注说明</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①投标人应根据自身实际情况提供上述资格要求的证明材料，格式可参考招标文件第七章提供。</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②投标人提供的相应证明材料复印件均应符合：内容完整、清晰、整洁，并由投标人加盖其单位公章。</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③根据招标文件第四章第一点资格审查的1.3“④其他资格证明文件”要求，允许供应商采用资格承诺制的并提供符合要求的资格承诺函，视为满足招标文件的资格要求。</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④.其他资格证明文件：</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5"/>
        <w:tblW w:w="962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257"/>
        <w:gridCol w:w="736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57"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资格审查要求概况</w:t>
            </w:r>
          </w:p>
        </w:tc>
        <w:tc>
          <w:tcPr>
            <w:tcW w:w="7363"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57"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资格承诺函</w:t>
            </w:r>
          </w:p>
        </w:tc>
        <w:tc>
          <w:tcPr>
            <w:tcW w:w="7363"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（3）投标保证金。</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1.4有下列情形之一的，资格审查不合格：</w:t>
      </w:r>
    </w:p>
    <w:tbl>
      <w:tblPr>
        <w:tblStyle w:val="5"/>
        <w:tblW w:w="962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62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28" w:type="dxa"/>
            <w:vAlign w:val="center"/>
          </w:tcPr>
          <w:p>
            <w:pPr>
              <w:pStyle w:val="7"/>
              <w:ind w:left="0" w:leftChars="0" w:right="0" w:rightChars="0"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28" w:type="dxa"/>
          </w:tcPr>
          <w:p>
            <w:pPr>
              <w:pStyle w:val="7"/>
              <w:ind w:left="0" w:leftChars="0" w:right="0" w:rightChars="0" w:firstLine="0" w:firstLineChar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未按照招标文件规定提交投标函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28" w:type="dxa"/>
          </w:tcPr>
          <w:p>
            <w:pPr>
              <w:pStyle w:val="7"/>
              <w:ind w:left="0" w:leftChars="0" w:right="0" w:rightChars="0" w:firstLine="0" w:firstLineChar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未按照招标文件规定提交投标人的资格及资信文件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9628" w:type="dxa"/>
          </w:tcPr>
          <w:p>
            <w:pPr>
              <w:pStyle w:val="7"/>
              <w:ind w:left="0" w:leftChars="0" w:right="0" w:rightChars="0" w:firstLine="0" w:firstLineChar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未按照招标文件规定提交投标保证金</w:t>
            </w:r>
          </w:p>
        </w:tc>
      </w:tr>
    </w:tbl>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资格审查不合格项：无</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1.5若本项目接受联合体投标且投标人为联合体，联合体中有同类资质的供应商按照联合体分工承担相同工作的，应先按照资质等级较低的供应商确定资质等级，再按照本章第1.2、1.3、1.4条规定进行资格审查。</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2、资格审查情况不得私自外泄，有关信息由 福建易星项目管理有限公司 统一对外发布。</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3、资格审查合格的投标人不足三家的，不进行评标。同时，本次采购活动结束， 福建易星项目管理有限公司 将依法组织后续采购活动（包括但不限于：重新招标、采用其他方式采购等）。</w:t>
      </w:r>
    </w:p>
    <w:p>
      <w:pPr>
        <w:pStyle w:val="7"/>
        <w:jc w:val="both"/>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二、评标</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4、资格审查结束后，由 福建易星项目管理有限公司 负责评标委员会的组建及评标工作的组织。</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5、评标委员会</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由采购人代表和评审专家两部分共5人组成，其中由福建省政府采购评审专家库产生的评审专家4人，由采购人派出的采购人代表1人。</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5.2评标委员会负责具体评标事务，并按照下列原则依法独立履行有关职责：</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（1）评标应保护国家利益、社会公共利益和各方当事人合法权益，提高采购效益，保证项目质量。</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（2）评标应遵循公平、公正、科学、严谨和择优原则。</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（3）评标的依据是招标文件和电子投标文件。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（4）应按照招标文件规定推荐中标候选人或确定中标人。</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（5）评标应遵守下列评标纪律：</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①评标情况不得私自外泄，有关信息由 福建易星项目管理有限公司 统一对外发布。</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②对 福建易星项目管理有限公司 或投标人提供的要求保密的资料，不得摘记翻印和外传。</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③不得收受投标人或有关人员的任何礼物，不得串联鼓动其他人袒护某投标人。若与投标人存在利害关系，则应主动声明并回避。</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④全体评委应按照招标文件规定进行评标，一切认定事项应查有实据且不得弄虚作假。</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⑤评标中应充分发扬民主，推荐中标候选人或确定中标人后要服从评标报告。</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※对违反评标纪律的评委，将取消其评委资格，对评标工作造成严重损失者将予以通报批评乃至追究法律责任。</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6、评标程序</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6.1评标前的准备工作</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（1）全体评委应认真审阅招标文件，了解评委应履行或遵守的职责、义务和评标纪律。</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（2）参加评标委员会的采购人代表可对本项目的背景和采购需求进行介绍，介绍材料应以书面形式提交（随采购文件一并存档），介绍内容不得含有歧视性、倾向性意见，不得超出招标文件所述范围。</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6.2符合性审查</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（1）评标委员会依据招标文件的实质性要求，对通过资格审查的电子投标文件进行符合性审查，以确定其是否满足招标文件的实质性要求。</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（2）满足招标文件的实质性要求指电子投标文件对招标文件实质性要求的响应不存在重大偏差或保留。</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（5）评标委员会对所有投标人都执行相同的程序和标准。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（6）有下列情形之一的，符合性审查不合格：</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①项目一般情形：</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5"/>
        <w:tblW w:w="96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99"/>
        <w:gridCol w:w="1700"/>
        <w:gridCol w:w="672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99"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1700"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符合审查要求概况</w:t>
            </w:r>
          </w:p>
        </w:tc>
        <w:tc>
          <w:tcPr>
            <w:tcW w:w="6723"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99"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700"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情形1</w:t>
            </w:r>
          </w:p>
        </w:tc>
        <w:tc>
          <w:tcPr>
            <w:tcW w:w="6723"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违反招标文件中载明“投标无效”条款的规定；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99"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700"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情形2</w:t>
            </w:r>
          </w:p>
        </w:tc>
        <w:tc>
          <w:tcPr>
            <w:tcW w:w="6723"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属于招标文件第三章第10.12条规定的投标无效情形；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99"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700"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情形3</w:t>
            </w:r>
          </w:p>
        </w:tc>
        <w:tc>
          <w:tcPr>
            <w:tcW w:w="6723"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投标文件对招标文件实质性要求的响应存在重大偏离或保留。</w:t>
            </w:r>
          </w:p>
        </w:tc>
      </w:tr>
    </w:tbl>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②本项目规定的其他情形：</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技术符合性</w:t>
      </w:r>
    </w:p>
    <w:tbl>
      <w:tblPr>
        <w:tblStyle w:val="5"/>
        <w:tblW w:w="962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46"/>
        <w:gridCol w:w="818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46"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情形</w:t>
            </w:r>
          </w:p>
        </w:tc>
        <w:tc>
          <w:tcPr>
            <w:tcW w:w="8182"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46"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其他情形</w:t>
            </w:r>
          </w:p>
        </w:tc>
        <w:tc>
          <w:tcPr>
            <w:tcW w:w="8182"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1、未按照招标文件规定要求签署、盖章的； 2、不符合招标文件中规定的实质性要求和条件、无效投标条款的； 3、属于招标文件规定的符合性检查不合格情形； 4、属于招标文件规定评标委员会应否决其投标的情形； 5、投标文件的技术部分中出现报价部分的全部或部分的投标报价信息(或组成资料)； 6、招标文件第五章招标内容及要求中投标无效规定或“★”标示的内容为负偏离的，按无效投标处理。</w:t>
            </w:r>
          </w:p>
        </w:tc>
      </w:tr>
    </w:tbl>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商务符合性</w:t>
      </w:r>
    </w:p>
    <w:tbl>
      <w:tblPr>
        <w:tblStyle w:val="5"/>
        <w:tblW w:w="962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62"/>
        <w:gridCol w:w="816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62"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情形</w:t>
            </w:r>
          </w:p>
        </w:tc>
        <w:tc>
          <w:tcPr>
            <w:tcW w:w="8166"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62"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其他情形</w:t>
            </w:r>
          </w:p>
        </w:tc>
        <w:tc>
          <w:tcPr>
            <w:tcW w:w="8166"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1、未按照招标文件规定要求签署、盖章的； 2、不符合招标文件中规定的实质性要求和条件、无效投标条款的； 3、属于招标文件规定的符合性检查不合格情形； 4、属于招标文件规定评标委员会应否决其投标的情形； 5、投标文件的商务部分中出现报价部分的全部或部分的投标报价信息(或组成资料)； 6、招标文件第五章第三条商务条件所有内容均为不允许负偏离的实质性要求，对第五章第三条商务条件有负偏离的。</w:t>
            </w:r>
          </w:p>
        </w:tc>
      </w:tr>
    </w:tbl>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价格符合性</w:t>
      </w:r>
    </w:p>
    <w:tbl>
      <w:tblPr>
        <w:tblStyle w:val="5"/>
        <w:tblW w:w="962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77"/>
        <w:gridCol w:w="815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77"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情形</w:t>
            </w:r>
          </w:p>
        </w:tc>
        <w:tc>
          <w:tcPr>
            <w:tcW w:w="815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77"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其他情形</w:t>
            </w:r>
          </w:p>
        </w:tc>
        <w:tc>
          <w:tcPr>
            <w:tcW w:w="8151"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投标报价不得超过采购包最高限价或预算金额，否则视为无效投标。</w:t>
            </w:r>
          </w:p>
        </w:tc>
      </w:tr>
    </w:tbl>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6.3澄清有关问题</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（1）对通过符合性审查的电子投标文件中含义不明确、同类问题表述不一致或有明显文字和计算错误的内容，评标委员会将以书面形式要求投标人作出必要的澄清、说明或补正。</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（3）电子投标文件报价出现前后不一致的，除招标文件另有规定外，按照下列规定修正：</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①开标（报价）一览表内容与电子投标文件中相应内容不一致的，以开标（报价）一览表为准；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②大写金额和小写金额不一致的，以大写金额为准；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③单价金额小数点或百分比有明显错位的，以开标（报价）一览表的总价为准，并修改单价；</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④总价金额与按照单价汇总金额不一致的，以单价金额计算结果为准。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※同时出现两种以上不一致的，按照前款规定的顺序修正。修正后的报价应按照本章第6.3条第（1）、（2）款规定经投标人确认后产生约束力，投标人不确认的，其投标无效。</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（4）关于细微偏差</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②评标委员会将以书面形式要求存在细微偏差的投标人在评标委员会规定的时间内予以补正。若无法补正，则评标委员会将按照不利于投标人的内容进行认定。</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（5）关于投标描述（即电子投标文件中描述的内容）</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①投标描述前后不一致且不涉及证明材料的：按照本章第6.3条第（1）、（2）款规定执行。</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②投标描述与证明材料不一致或多份证明材料之间不一致的：</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a.评标委员会将要求投标人进行书面澄清，并按照不利于投标人的内容进行评标。</w:t>
      </w:r>
    </w:p>
    <w:p>
      <w:pPr>
        <w:pStyle w:val="7"/>
        <w:keepNext w:val="0"/>
        <w:keepLines w:val="0"/>
        <w:pageBreakBefore w:val="0"/>
        <w:widowControl w:val="0"/>
        <w:kinsoku/>
        <w:wordWrap/>
        <w:overflowPunct/>
        <w:topLinePunct w:val="0"/>
        <w:autoSpaceDE/>
        <w:autoSpaceDN/>
        <w:bidi w:val="0"/>
        <w:adjustRightInd/>
        <w:snapToGrid/>
        <w:ind w:firstLine="482"/>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pStyle w:val="7"/>
        <w:keepNext w:val="0"/>
        <w:keepLines w:val="0"/>
        <w:pageBreakBefore w:val="0"/>
        <w:widowControl w:val="0"/>
        <w:kinsoku/>
        <w:wordWrap/>
        <w:overflowPunct/>
        <w:topLinePunct w:val="0"/>
        <w:autoSpaceDE/>
        <w:autoSpaceDN/>
        <w:bidi w:val="0"/>
        <w:adjustRightInd/>
        <w:snapToGrid/>
        <w:ind w:firstLine="482"/>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pStyle w:val="7"/>
        <w:keepNext w:val="0"/>
        <w:keepLines w:val="0"/>
        <w:pageBreakBefore w:val="0"/>
        <w:widowControl w:val="0"/>
        <w:kinsoku/>
        <w:wordWrap/>
        <w:overflowPunct/>
        <w:topLinePunct w:val="0"/>
        <w:autoSpaceDE/>
        <w:autoSpaceDN/>
        <w:bidi w:val="0"/>
        <w:adjustRightInd/>
        <w:snapToGrid/>
        <w:ind w:firstLine="482"/>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6.4比较与评价</w:t>
      </w:r>
    </w:p>
    <w:p>
      <w:pPr>
        <w:pStyle w:val="7"/>
        <w:keepNext w:val="0"/>
        <w:keepLines w:val="0"/>
        <w:pageBreakBefore w:val="0"/>
        <w:widowControl w:val="0"/>
        <w:kinsoku/>
        <w:wordWrap/>
        <w:overflowPunct/>
        <w:topLinePunct w:val="0"/>
        <w:autoSpaceDE/>
        <w:autoSpaceDN/>
        <w:bidi w:val="0"/>
        <w:adjustRightInd/>
        <w:snapToGrid/>
        <w:ind w:firstLine="482"/>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（1）按照本章第7条载明的评标方法和标准，对符合性审查合格的电子投标文件进行比较与评价。</w:t>
      </w:r>
    </w:p>
    <w:p>
      <w:pPr>
        <w:pStyle w:val="7"/>
        <w:keepNext w:val="0"/>
        <w:keepLines w:val="0"/>
        <w:pageBreakBefore w:val="0"/>
        <w:widowControl w:val="0"/>
        <w:kinsoku/>
        <w:wordWrap/>
        <w:overflowPunct/>
        <w:topLinePunct w:val="0"/>
        <w:autoSpaceDE/>
        <w:autoSpaceDN/>
        <w:bidi w:val="0"/>
        <w:adjustRightInd/>
        <w:snapToGrid/>
        <w:ind w:firstLine="482"/>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（2）关于相同品牌产品（政府采购服务类项目不适用本条款规定）</w:t>
      </w:r>
    </w:p>
    <w:p>
      <w:pPr>
        <w:pStyle w:val="7"/>
        <w:keepNext w:val="0"/>
        <w:keepLines w:val="0"/>
        <w:pageBreakBefore w:val="0"/>
        <w:widowControl w:val="0"/>
        <w:kinsoku/>
        <w:wordWrap/>
        <w:overflowPunct/>
        <w:topLinePunct w:val="0"/>
        <w:autoSpaceDE/>
        <w:autoSpaceDN/>
        <w:bidi w:val="0"/>
        <w:adjustRightInd/>
        <w:snapToGrid/>
        <w:ind w:firstLine="482"/>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a.招标文件规定的方式：</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b.招标文件未规定的，采取随机抽取方式确定，其他投标无效。</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a.招标文件规定的方式：</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b.招标文件未规定的，采取随机抽取方式确定，其他同品牌投标人不作为中标候选人。</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③非单一产品采购项目，多家投标人提供的核心产品品牌相同的，按照本章第6.4条第（2）款第①、②规定处理。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（3）漏（缺）项</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①招标文件中要求列入报价的费用（含配置、功能），漏（缺）项的报价视为已经包括在投标总价中。</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②对多报项及赠送项的价格评标时不予核减，全部进入评标价评议。</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6.5推荐中标候选人：详见本章第7.2条规定。</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6.6编写评标报告</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（1）评标报告由评标委员会负责编写。</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（2）评标报告应包括下列内容：</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①招标公告刊登的媒体名称、开标日期和地点；</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②投标人名单和评标委员会成员名单；</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③评标方法和标准；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④开标记录和评标情况及说明，包括无效投标人名单及原因；</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⑤评标结果，包括中标候选人名单或确定的中标人；</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⑥其他需要说明的情况，包括但不限于：评标过程中投标人的澄清、说明或补正，评委更换等。</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6.8评委对需要共同认定的事项存在争议的，应按照少数服从多数的原则进行认定。持不同意见的评委应在评标报告上签署不同意见及理由，否则视为同意评标报告。</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6.9在评标过程中发现投标人有下列情形之一的，评标委员会应认定其投标无效，并书面报告本项目监督管理部门：</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（1）恶意串通（包括但不限于招标文件第三章第9.7条规定情形）；</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（2）妨碍其他投标人的竞争行为；</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（3）损害采购人或其他投标人的合法权益。</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6.10评标过程中，有下列情形之一的，应予废标：</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（1）符合性审查合格的投标人不足三家的；</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（2）有关法律、法规和规章规定废标的情形。</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※若废标，则本次采购活动结束， 福建易星项目管理有限公司 将依法组织后续采购活动（包括但不限于：重新招标、采用其他方式采购等）。</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7、评标方法和标准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7.1评标方法：</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采购包1：综合评分法</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7.2评标标准</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采购包1：综合评分法</w:t>
      </w:r>
    </w:p>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（1）投标文件满足招标文件全部实质性要求，且按照评审因素的量化指标评审得分（即评标总得分）最高的投标人为中标候选人。</w:t>
      </w:r>
    </w:p>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各项评审因素的设置如下：</w:t>
      </w:r>
    </w:p>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价格项（F1×A1）满分为</w:t>
      </w: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rPr>
        <w:t>0.0000分</w:t>
      </w:r>
    </w:p>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价格扣除的规则如下：</w:t>
      </w:r>
    </w:p>
    <w:tbl>
      <w:tblPr>
        <w:tblStyle w:val="5"/>
        <w:tblW w:w="961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208"/>
        <w:gridCol w:w="1320"/>
        <w:gridCol w:w="943"/>
        <w:gridCol w:w="614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08"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1320"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适用对象</w:t>
            </w:r>
          </w:p>
        </w:tc>
        <w:tc>
          <w:tcPr>
            <w:tcW w:w="943"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比例</w:t>
            </w:r>
          </w:p>
        </w:tc>
        <w:tc>
          <w:tcPr>
            <w:tcW w:w="6144"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08"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小型、微型企业，监狱企业，残疾人福利性单位</w:t>
            </w:r>
          </w:p>
        </w:tc>
        <w:tc>
          <w:tcPr>
            <w:tcW w:w="1320"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投标人或者联合体均为小型、微型企业</w:t>
            </w:r>
          </w:p>
        </w:tc>
        <w:tc>
          <w:tcPr>
            <w:tcW w:w="943"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15.00%</w:t>
            </w:r>
          </w:p>
        </w:tc>
        <w:tc>
          <w:tcPr>
            <w:tcW w:w="6144"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(一)《政府采购促进中小企业发展管理办法》价格的扣除： 1、根据财政部、工业和信息化部关于发布《政府采购促进中小企业发展管理办法》(财库〔2020〕46号)，本办法所称中小企业，是指在中华人民共和国境内依法设立，依据国务院批准的中小企业划分标准确定的中型企业、小型企业和微型企业，但与大企业的负责人为同一人，或者与大企业存在直接控股、管理关系的除外。 2、在政府采购活动中，供应商提供的货物、工程或者服务符合下列情形的，享受本评标项目第(一)条第3点规定的中小企业扶持政策： (1)在货物采购项目中，货物由中小企业制造，即货物由中小企业生产且使用该中小企业商号或者注册商标； (2)在工程采购项目中，工程由中小企业承建，即工程施工单位为中小企业； (3)在服务采购项目中，服务由中小企业承接，即提供服务的人员为中小企业依照《中华人民共和国劳动合同法》订立劳动合同的从业人员。 在货物采购项目中，供应商提供的货物既有中小企业制造货物，也有大型企业制造货物的，不享受本评标项目第(一)条第3点规定的中小企业扶持政策。 3、本采购包为非专门面向中小企业的项目，根据《福建省财政厅关于进一步加大政府采购支持中小企业力度的通知》闽财规〔2022〕13号的规定,对小微企业报价给予15%的扣除，用扣除后的价格参加评审。残疾人集中就业企业、监狱企业视同小微企业，享受评审中价格扣除的政府采购政策。 4、监狱企业参加政府采购活动时，应当提供由省级以上监狱管理局、戒毒管理局(含新疆生产建设兵团)出具的属于监狱企业的证明文件，否则不予价格扣除。 5、依据《政府采购促进中小企业发展管理办法》规定享受扶持政策获得政府采购合同的，小微企业不得将合同分包给大中型企业，中型企业不得将合同分包给大型企业。 6、采购标的对应的中小企业划分标准所属行业为“</w:t>
            </w:r>
            <w:r>
              <w:rPr>
                <w:rFonts w:hint="eastAsia" w:asciiTheme="minorEastAsia" w:hAnsiTheme="minorEastAsia" w:cstheme="minorEastAsia"/>
                <w:color w:val="auto"/>
                <w:sz w:val="24"/>
                <w:szCs w:val="24"/>
                <w:lang w:val="en-US" w:eastAsia="zh-CN"/>
              </w:rPr>
              <w:t>其他未列明行业</w:t>
            </w:r>
            <w:r>
              <w:rPr>
                <w:rFonts w:hint="eastAsia" w:asciiTheme="minorEastAsia" w:hAnsiTheme="minorEastAsia" w:eastAsiaTheme="minorEastAsia" w:cstheme="minorEastAsia"/>
                <w:sz w:val="24"/>
                <w:szCs w:val="24"/>
              </w:rPr>
              <w:t>”，应对应填写《中小企业声明函》(货物)模板，若供应商填写的《中小企业声明函》不是对应模板的或者提供的《中小企业声明函》中填写的行业与招标文件明确的采购标的对应的中小企业划分标准所属行业不一致，均不予认定为小微企业，不予价格扣除。 注：中小企业参加政府采购活动，应当出具《政府采购促进中小企业发展管理办法》规定的《中小企业声明函》(见招标文件相关附件), 否则不得享受相关中小企业扶持政策。评标委员会审查此项响应性只根据投标文件本身的内容，而不寻求其他的外部证据。根据财政部、工业和信息化部关于发布《政府采购促进中小企业发展管理办法》(财库〔2020〕46号)的规定，中标供应商享受本办法规定的中小企业扶持政策的，采购人、采购代理机构应当随中标结果公开中标供应商的《中小企业声明函》。供应商按照本办法规定提供声明函内容不实的，属于提供虚假材料谋取中标，依照《中华人民共和国政府采购法》等国家有关规定追究相应责任。</w:t>
            </w:r>
          </w:p>
        </w:tc>
      </w:tr>
    </w:tbl>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其他：无</w:t>
      </w:r>
    </w:p>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技术项（F2×A2）满分为</w:t>
      </w:r>
      <w:r>
        <w:rPr>
          <w:rFonts w:hint="eastAsia" w:asciiTheme="minorEastAsia" w:hAnsiTheme="minorEastAsia" w:cstheme="minorEastAsia"/>
          <w:color w:val="auto"/>
          <w:sz w:val="24"/>
          <w:szCs w:val="24"/>
          <w:lang w:val="en-US" w:eastAsia="zh-CN"/>
        </w:rPr>
        <w:t>73</w:t>
      </w:r>
      <w:r>
        <w:rPr>
          <w:rFonts w:hint="eastAsia" w:asciiTheme="minorEastAsia" w:hAnsiTheme="minorEastAsia" w:eastAsiaTheme="minorEastAsia" w:cstheme="minorEastAsia"/>
          <w:sz w:val="24"/>
          <w:szCs w:val="24"/>
        </w:rPr>
        <w:t>.0000分</w:t>
      </w:r>
    </w:p>
    <w:tbl>
      <w:tblPr>
        <w:tblStyle w:val="5"/>
        <w:tblW w:w="961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523"/>
        <w:gridCol w:w="937"/>
        <w:gridCol w:w="1054"/>
        <w:gridCol w:w="610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23"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937"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1054"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是否客观项</w:t>
            </w:r>
          </w:p>
        </w:tc>
        <w:tc>
          <w:tcPr>
            <w:tcW w:w="610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23" w:type="dxa"/>
            <w:shd w:val="clear" w:color="auto" w:fill="auto"/>
            <w:vAlign w:val="center"/>
          </w:tcPr>
          <w:p>
            <w:pPr>
              <w:pStyle w:val="7"/>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1、技术响应情况</w:t>
            </w:r>
          </w:p>
        </w:tc>
        <w:tc>
          <w:tcPr>
            <w:tcW w:w="937" w:type="dxa"/>
            <w:shd w:val="clear" w:color="auto" w:fill="auto"/>
            <w:vAlign w:val="center"/>
          </w:tcPr>
          <w:p>
            <w:pPr>
              <w:pStyle w:val="7"/>
              <w:jc w:val="center"/>
              <w:rPr>
                <w:rFonts w:hint="eastAsia" w:asciiTheme="minorEastAsia" w:hAnsiTheme="minorEastAsia" w:eastAsiaTheme="minorEastAsia" w:cstheme="minorEastAsia"/>
                <w:sz w:val="24"/>
                <w:szCs w:val="24"/>
                <w:highlight w:val="none"/>
              </w:rPr>
            </w:pPr>
            <w:r>
              <w:rPr>
                <w:rFonts w:hint="eastAsia" w:asciiTheme="minorEastAsia" w:hAnsiTheme="minorEastAsia" w:cstheme="minorEastAsia"/>
                <w:sz w:val="24"/>
                <w:szCs w:val="24"/>
                <w:highlight w:val="none"/>
                <w:lang w:val="en-US" w:eastAsia="zh-CN"/>
              </w:rPr>
              <w:t>60</w:t>
            </w:r>
            <w:r>
              <w:rPr>
                <w:rFonts w:hint="eastAsia" w:asciiTheme="minorEastAsia" w:hAnsiTheme="minorEastAsia" w:eastAsiaTheme="minorEastAsia" w:cstheme="minorEastAsia"/>
                <w:sz w:val="24"/>
                <w:szCs w:val="24"/>
                <w:highlight w:val="none"/>
              </w:rPr>
              <w:t>.00</w:t>
            </w:r>
          </w:p>
        </w:tc>
        <w:tc>
          <w:tcPr>
            <w:tcW w:w="1054" w:type="dxa"/>
            <w:shd w:val="clear" w:color="auto" w:fill="auto"/>
            <w:vAlign w:val="center"/>
          </w:tcPr>
          <w:p>
            <w:pPr>
              <w:pStyle w:val="7"/>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是</w:t>
            </w:r>
          </w:p>
        </w:tc>
        <w:tc>
          <w:tcPr>
            <w:tcW w:w="6101" w:type="dxa"/>
            <w:shd w:val="clear" w:color="auto" w:fill="auto"/>
          </w:tcPr>
          <w:p>
            <w:pPr>
              <w:pStyle w:val="7"/>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auto"/>
                <w:sz w:val="24"/>
                <w:szCs w:val="24"/>
                <w:highlight w:val="none"/>
                <w:shd w:val="clear"/>
              </w:rPr>
              <w:t>根据投标人对招标文件“第五章招标内容及要求”中“二、技术和服务要求”的实际逐项响应情况由评标委员会进行评分：投标人完全满足招标文件技术要求的得</w:t>
            </w:r>
            <w:r>
              <w:rPr>
                <w:rFonts w:hint="eastAsia" w:asciiTheme="minorEastAsia" w:hAnsiTheme="minorEastAsia" w:cstheme="minorEastAsia"/>
                <w:color w:val="auto"/>
                <w:sz w:val="24"/>
                <w:szCs w:val="24"/>
                <w:highlight w:val="none"/>
                <w:shd w:val="clear"/>
                <w:lang w:val="en-US" w:eastAsia="zh-CN"/>
              </w:rPr>
              <w:t>60</w:t>
            </w:r>
            <w:r>
              <w:rPr>
                <w:rFonts w:hint="eastAsia" w:asciiTheme="minorEastAsia" w:hAnsiTheme="minorEastAsia" w:eastAsiaTheme="minorEastAsia" w:cstheme="minorEastAsia"/>
                <w:color w:val="auto"/>
                <w:sz w:val="24"/>
                <w:szCs w:val="24"/>
                <w:highlight w:val="none"/>
                <w:shd w:val="clear"/>
              </w:rPr>
              <w:t>分，正偏离不加分。技术参数中带“★”号的技术参数不得出现负偏离，否则按无效投标处理，技术参数中未带“★”号的技术参数共计1</w:t>
            </w:r>
            <w:r>
              <w:rPr>
                <w:rFonts w:hint="eastAsia" w:asciiTheme="minorEastAsia" w:hAnsiTheme="minorEastAsia" w:cstheme="minorEastAsia"/>
                <w:color w:val="auto"/>
                <w:sz w:val="24"/>
                <w:szCs w:val="24"/>
                <w:highlight w:val="none"/>
                <w:shd w:val="clear"/>
                <w:lang w:val="en-US" w:eastAsia="zh-CN"/>
              </w:rPr>
              <w:t>5</w:t>
            </w:r>
            <w:r>
              <w:rPr>
                <w:rFonts w:hint="eastAsia" w:asciiTheme="minorEastAsia" w:hAnsiTheme="minorEastAsia" w:eastAsiaTheme="minorEastAsia" w:cstheme="minorEastAsia"/>
                <w:color w:val="auto"/>
                <w:sz w:val="24"/>
                <w:szCs w:val="24"/>
                <w:highlight w:val="none"/>
                <w:shd w:val="clear"/>
              </w:rPr>
              <w:t>项，每负偏离一项扣</w:t>
            </w:r>
            <w:r>
              <w:rPr>
                <w:rFonts w:hint="eastAsia" w:asciiTheme="minorEastAsia" w:hAnsiTheme="minorEastAsia" w:cstheme="minorEastAsia"/>
                <w:color w:val="auto"/>
                <w:sz w:val="24"/>
                <w:szCs w:val="24"/>
                <w:highlight w:val="none"/>
                <w:shd w:val="clear"/>
                <w:lang w:val="en-US" w:eastAsia="zh-CN"/>
              </w:rPr>
              <w:t>4</w:t>
            </w:r>
            <w:r>
              <w:rPr>
                <w:rFonts w:hint="eastAsia" w:asciiTheme="minorEastAsia" w:hAnsiTheme="minorEastAsia" w:eastAsiaTheme="minorEastAsia" w:cstheme="minorEastAsia"/>
                <w:color w:val="auto"/>
                <w:sz w:val="24"/>
                <w:szCs w:val="24"/>
                <w:highlight w:val="none"/>
                <w:shd w:val="clear"/>
              </w:rPr>
              <w:t>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23" w:type="dxa"/>
            <w:vAlign w:val="center"/>
          </w:tcPr>
          <w:p>
            <w:pPr>
              <w:pStyle w:val="7"/>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2、播控服务方案</w:t>
            </w:r>
          </w:p>
        </w:tc>
        <w:tc>
          <w:tcPr>
            <w:tcW w:w="937" w:type="dxa"/>
            <w:vAlign w:val="center"/>
          </w:tcPr>
          <w:p>
            <w:pPr>
              <w:pStyle w:val="7"/>
              <w:jc w:val="center"/>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2.00</w:t>
            </w:r>
          </w:p>
        </w:tc>
        <w:tc>
          <w:tcPr>
            <w:tcW w:w="1054" w:type="dxa"/>
            <w:vAlign w:val="center"/>
          </w:tcPr>
          <w:p>
            <w:pPr>
              <w:pStyle w:val="7"/>
              <w:jc w:val="center"/>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lang w:eastAsia="zh-CN"/>
              </w:rPr>
              <w:t>否</w:t>
            </w:r>
          </w:p>
        </w:tc>
        <w:tc>
          <w:tcPr>
            <w:tcW w:w="6101" w:type="dxa"/>
          </w:tcPr>
          <w:p>
            <w:pPr>
              <w:pStyle w:val="7"/>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根据投标人针对本项目提供的</w:t>
            </w:r>
            <w:r>
              <w:rPr>
                <w:rFonts w:hint="eastAsia" w:asciiTheme="minorEastAsia" w:hAnsiTheme="minorEastAsia" w:eastAsiaTheme="minorEastAsia" w:cstheme="minorEastAsia"/>
                <w:sz w:val="24"/>
                <w:szCs w:val="24"/>
                <w:highlight w:val="none"/>
                <w:lang w:val="en-US" w:eastAsia="zh-CN"/>
              </w:rPr>
              <w:t>播控服务方案</w:t>
            </w:r>
            <w:r>
              <w:rPr>
                <w:rFonts w:hint="eastAsia" w:asciiTheme="minorEastAsia" w:hAnsiTheme="minorEastAsia" w:eastAsiaTheme="minorEastAsia" w:cstheme="minorEastAsia"/>
                <w:sz w:val="24"/>
                <w:szCs w:val="24"/>
                <w:highlight w:val="none"/>
              </w:rPr>
              <w:t>（包括但不限于：①播放次数、②播放时段，③播放方案等），</w:t>
            </w:r>
            <w:r>
              <w:rPr>
                <w:rFonts w:ascii="宋体" w:hAnsi="宋体" w:eastAsia="宋体" w:cs="宋体"/>
                <w:sz w:val="24"/>
                <w:szCs w:val="24"/>
                <w:highlight w:val="none"/>
              </w:rPr>
              <w:t>由评标委员会进行评分：方案包含的要点齐全无缺漏项、内容与要点相符、每个要点均有展开详细的阐述且能够适用于本项目得</w:t>
            </w:r>
            <w:r>
              <w:rPr>
                <w:rFonts w:hint="eastAsia" w:ascii="宋体" w:hAnsi="宋体" w:eastAsia="宋体" w:cs="宋体"/>
                <w:sz w:val="24"/>
                <w:szCs w:val="24"/>
                <w:highlight w:val="none"/>
                <w:lang w:val="en-US" w:eastAsia="zh-CN"/>
              </w:rPr>
              <w:t>2</w:t>
            </w:r>
            <w:r>
              <w:rPr>
                <w:rFonts w:ascii="宋体" w:hAnsi="宋体" w:eastAsia="宋体" w:cs="宋体"/>
                <w:sz w:val="24"/>
                <w:szCs w:val="24"/>
                <w:highlight w:val="none"/>
              </w:rPr>
              <w:t>分；方案所包含的要点齐全、内容与要点相符、每个要点均有展开阐述但部分能够适用于本项目的得</w:t>
            </w:r>
            <w:r>
              <w:rPr>
                <w:rFonts w:hint="eastAsia" w:ascii="宋体" w:hAnsi="宋体" w:eastAsia="宋体" w:cs="宋体"/>
                <w:sz w:val="24"/>
                <w:szCs w:val="24"/>
                <w:highlight w:val="none"/>
                <w:lang w:val="en-US" w:eastAsia="zh-CN"/>
              </w:rPr>
              <w:t>1</w:t>
            </w:r>
            <w:r>
              <w:rPr>
                <w:rFonts w:ascii="宋体" w:hAnsi="宋体" w:eastAsia="宋体" w:cs="宋体"/>
                <w:sz w:val="24"/>
                <w:szCs w:val="24"/>
                <w:highlight w:val="none"/>
              </w:rPr>
              <w:t>.</w:t>
            </w:r>
            <w:r>
              <w:rPr>
                <w:rFonts w:hint="eastAsia" w:ascii="宋体" w:hAnsi="宋体" w:eastAsia="宋体" w:cs="宋体"/>
                <w:sz w:val="24"/>
                <w:szCs w:val="24"/>
                <w:highlight w:val="none"/>
                <w:lang w:val="en-US" w:eastAsia="zh-CN"/>
              </w:rPr>
              <w:t>75</w:t>
            </w:r>
            <w:r>
              <w:rPr>
                <w:rFonts w:ascii="宋体" w:hAnsi="宋体" w:eastAsia="宋体" w:cs="宋体"/>
                <w:sz w:val="24"/>
                <w:szCs w:val="24"/>
                <w:highlight w:val="none"/>
              </w:rPr>
              <w:t>分；方案所包含的要点有缺漏、内容与要点相符但仅有纲要、内容简略，未展开详细阐述</w:t>
            </w:r>
            <w:r>
              <w:rPr>
                <w:rFonts w:hint="eastAsia" w:ascii="宋体" w:hAnsi="宋体" w:eastAsia="宋体" w:cs="宋体"/>
                <w:sz w:val="24"/>
                <w:szCs w:val="24"/>
                <w:highlight w:val="none"/>
                <w:lang w:eastAsia="zh-CN"/>
              </w:rPr>
              <w:t>但</w:t>
            </w:r>
            <w:r>
              <w:rPr>
                <w:rFonts w:ascii="宋体" w:hAnsi="宋体" w:eastAsia="宋体" w:cs="宋体"/>
                <w:sz w:val="24"/>
                <w:szCs w:val="24"/>
                <w:highlight w:val="none"/>
              </w:rPr>
              <w:t>小部分能够适用于本项目的得</w:t>
            </w:r>
            <w:r>
              <w:rPr>
                <w:rFonts w:hint="eastAsia" w:ascii="宋体" w:hAnsi="宋体" w:eastAsia="宋体" w:cs="宋体"/>
                <w:sz w:val="24"/>
                <w:szCs w:val="24"/>
                <w:highlight w:val="none"/>
                <w:lang w:val="en-US" w:eastAsia="zh-CN"/>
              </w:rPr>
              <w:t>1</w:t>
            </w:r>
            <w:r>
              <w:rPr>
                <w:rFonts w:ascii="宋体" w:hAnsi="宋体" w:eastAsia="宋体" w:cs="宋体"/>
                <w:sz w:val="24"/>
                <w:szCs w:val="24"/>
                <w:highlight w:val="none"/>
              </w:rPr>
              <w:t>.</w:t>
            </w:r>
            <w:r>
              <w:rPr>
                <w:rFonts w:hint="eastAsia" w:ascii="宋体" w:hAnsi="宋体" w:eastAsia="宋体" w:cs="宋体"/>
                <w:sz w:val="24"/>
                <w:szCs w:val="24"/>
                <w:highlight w:val="none"/>
                <w:lang w:val="en-US" w:eastAsia="zh-CN"/>
              </w:rPr>
              <w:t>5</w:t>
            </w:r>
            <w:r>
              <w:rPr>
                <w:rFonts w:ascii="宋体" w:hAnsi="宋体" w:eastAsia="宋体" w:cs="宋体"/>
                <w:sz w:val="24"/>
                <w:szCs w:val="24"/>
                <w:highlight w:val="none"/>
              </w:rPr>
              <w:t>分；未提供或内容</w:t>
            </w:r>
            <w:r>
              <w:rPr>
                <w:rFonts w:hint="eastAsia" w:ascii="宋体" w:hAnsi="宋体" w:eastAsia="宋体" w:cs="宋体"/>
                <w:sz w:val="24"/>
                <w:szCs w:val="24"/>
                <w:highlight w:val="none"/>
              </w:rPr>
              <w:t>存在明显</w:t>
            </w:r>
            <w:r>
              <w:rPr>
                <w:rFonts w:ascii="宋体" w:hAnsi="宋体" w:eastAsia="宋体" w:cs="宋体"/>
                <w:sz w:val="24"/>
                <w:szCs w:val="24"/>
                <w:highlight w:val="none"/>
              </w:rPr>
              <w:t>错误、内容</w:t>
            </w:r>
            <w:r>
              <w:rPr>
                <w:rFonts w:hint="eastAsia" w:ascii="宋体" w:hAnsi="宋体" w:eastAsia="宋体" w:cs="宋体"/>
                <w:sz w:val="24"/>
                <w:szCs w:val="24"/>
                <w:highlight w:val="none"/>
                <w:lang w:eastAsia="zh-CN"/>
              </w:rPr>
              <w:t>明显</w:t>
            </w:r>
            <w:r>
              <w:rPr>
                <w:rFonts w:ascii="宋体" w:hAnsi="宋体" w:eastAsia="宋体" w:cs="宋体"/>
                <w:sz w:val="24"/>
                <w:szCs w:val="24"/>
                <w:highlight w:val="none"/>
              </w:rPr>
              <w:t>不适用于本项目需求的均不得分。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23" w:type="dxa"/>
            <w:vAlign w:val="center"/>
          </w:tcPr>
          <w:p>
            <w:pPr>
              <w:pStyle w:val="7"/>
              <w:jc w:val="center"/>
              <w:rPr>
                <w:rFonts w:hint="eastAsia" w:asciiTheme="minorEastAsia" w:hAnsi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rPr>
              <w:t>运维保障方案</w:t>
            </w:r>
          </w:p>
        </w:tc>
        <w:tc>
          <w:tcPr>
            <w:tcW w:w="937" w:type="dxa"/>
            <w:vAlign w:val="center"/>
          </w:tcPr>
          <w:p>
            <w:pPr>
              <w:jc w:val="center"/>
              <w:rPr>
                <w:rFonts w:hint="eastAsia" w:asciiTheme="minorEastAsia" w:hAnsiTheme="minorEastAsia" w:cstheme="minorEastAsia"/>
                <w:sz w:val="24"/>
                <w:szCs w:val="24"/>
                <w:highlight w:val="none"/>
                <w:lang w:val="en-US" w:eastAsia="zh-CN"/>
              </w:rPr>
            </w:pPr>
            <w:r>
              <w:rPr>
                <w:rFonts w:hint="eastAsia" w:ascii="宋体" w:hAnsi="宋体" w:eastAsia="宋体" w:cs="宋体"/>
                <w:kern w:val="0"/>
                <w:sz w:val="24"/>
                <w:szCs w:val="24"/>
                <w:highlight w:val="none"/>
                <w:lang w:val="en-US" w:eastAsia="zh-Hans"/>
              </w:rPr>
              <w:t>2.00</w:t>
            </w:r>
          </w:p>
        </w:tc>
        <w:tc>
          <w:tcPr>
            <w:tcW w:w="1054" w:type="dxa"/>
            <w:vAlign w:val="center"/>
          </w:tcPr>
          <w:p>
            <w:pPr>
              <w:jc w:val="center"/>
              <w:rPr>
                <w:rFonts w:hint="eastAsia" w:asciiTheme="minorEastAsia" w:hAnsiTheme="minorEastAsia" w:cstheme="minorEastAsia"/>
                <w:sz w:val="24"/>
                <w:szCs w:val="24"/>
                <w:highlight w:val="none"/>
                <w:lang w:eastAsia="zh-CN"/>
              </w:rPr>
            </w:pPr>
            <w:r>
              <w:rPr>
                <w:rFonts w:hint="eastAsia" w:asciiTheme="minorEastAsia" w:hAnsiTheme="minorEastAsia" w:cstheme="minorEastAsia"/>
                <w:sz w:val="24"/>
                <w:szCs w:val="24"/>
                <w:highlight w:val="none"/>
                <w:lang w:eastAsia="zh-CN"/>
              </w:rPr>
              <w:t>否</w:t>
            </w:r>
          </w:p>
        </w:tc>
        <w:tc>
          <w:tcPr>
            <w:tcW w:w="6101" w:type="dxa"/>
            <w:vAlign w:val="top"/>
          </w:tcPr>
          <w:p>
            <w:pPr>
              <w:pStyle w:val="7"/>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根据投标人提供的运维保障方案（包括但不限于：①有针对本项目提供运维保障方案</w:t>
            </w:r>
            <w:r>
              <w:rPr>
                <w:rFonts w:hint="eastAsia" w:asciiTheme="minorEastAsia" w:hAnsi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②运维人员</w:t>
            </w:r>
            <w:r>
              <w:rPr>
                <w:rFonts w:hint="eastAsia" w:asciiTheme="minorEastAsia" w:hAnsi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 xml:space="preserve"> ③日常</w:t>
            </w:r>
            <w:r>
              <w:rPr>
                <w:rFonts w:hint="eastAsia" w:asciiTheme="minorEastAsia" w:hAnsiTheme="minorEastAsia" w:cstheme="minorEastAsia"/>
                <w:sz w:val="24"/>
                <w:szCs w:val="24"/>
                <w:highlight w:val="none"/>
                <w:lang w:eastAsia="zh-CN"/>
              </w:rPr>
              <w:t>硬件</w:t>
            </w:r>
            <w:r>
              <w:rPr>
                <w:rFonts w:hint="eastAsia" w:asciiTheme="minorEastAsia" w:hAnsiTheme="minorEastAsia" w:eastAsiaTheme="minorEastAsia" w:cstheme="minorEastAsia"/>
                <w:sz w:val="24"/>
                <w:szCs w:val="24"/>
                <w:highlight w:val="none"/>
                <w:lang w:val="en-US" w:eastAsia="zh-CN"/>
              </w:rPr>
              <w:t>升级维护</w:t>
            </w:r>
            <w:r>
              <w:rPr>
                <w:rFonts w:hint="eastAsia" w:asciiTheme="minorEastAsia" w:hAnsiTheme="minorEastAsia" w:cstheme="minorEastAsia"/>
                <w:sz w:val="24"/>
                <w:szCs w:val="24"/>
                <w:highlight w:val="none"/>
                <w:lang w:eastAsia="zh-CN"/>
              </w:rPr>
              <w:t>、④</w:t>
            </w:r>
            <w:r>
              <w:rPr>
                <w:rFonts w:hint="eastAsia" w:asciiTheme="minorEastAsia" w:hAnsiTheme="minorEastAsia" w:eastAsiaTheme="minorEastAsia" w:cstheme="minorEastAsia"/>
                <w:sz w:val="24"/>
                <w:szCs w:val="24"/>
                <w:highlight w:val="none"/>
              </w:rPr>
              <w:t>在发生突发故障或业务中断时，能在2小时内响应并处置</w:t>
            </w:r>
            <w:r>
              <w:rPr>
                <w:rFonts w:hint="eastAsia" w:asciiTheme="minorEastAsia" w:hAnsiTheme="minorEastAsia" w:cstheme="minorEastAsia"/>
                <w:sz w:val="24"/>
                <w:szCs w:val="24"/>
                <w:highlight w:val="none"/>
                <w:lang w:eastAsia="zh-CN"/>
              </w:rPr>
              <w:t>等）</w:t>
            </w:r>
            <w:r>
              <w:rPr>
                <w:rFonts w:hint="eastAsia" w:asciiTheme="minorEastAsia" w:hAnsiTheme="minorEastAsia" w:cstheme="minorEastAsia"/>
                <w:sz w:val="24"/>
                <w:szCs w:val="24"/>
                <w:highlight w:val="none"/>
                <w:lang w:val="en-US" w:eastAsia="zh-CN"/>
              </w:rPr>
              <w:t>，</w:t>
            </w:r>
            <w:r>
              <w:rPr>
                <w:rFonts w:ascii="宋体" w:hAnsi="宋体" w:eastAsia="宋体" w:cs="宋体"/>
                <w:sz w:val="24"/>
                <w:szCs w:val="24"/>
                <w:highlight w:val="none"/>
              </w:rPr>
              <w:t>由评标委员会进行评分：方案包含的要点齐全无缺漏项、内容与要点相符、每个要点均有展开详细的阐述且能够适用于本项目得</w:t>
            </w:r>
            <w:r>
              <w:rPr>
                <w:rFonts w:hint="eastAsia" w:ascii="宋体" w:hAnsi="宋体" w:eastAsia="宋体" w:cs="宋体"/>
                <w:sz w:val="24"/>
                <w:szCs w:val="24"/>
                <w:highlight w:val="none"/>
                <w:lang w:val="en-US" w:eastAsia="zh-CN"/>
              </w:rPr>
              <w:t>2</w:t>
            </w:r>
            <w:r>
              <w:rPr>
                <w:rFonts w:ascii="宋体" w:hAnsi="宋体" w:eastAsia="宋体" w:cs="宋体"/>
                <w:sz w:val="24"/>
                <w:szCs w:val="24"/>
                <w:highlight w:val="none"/>
              </w:rPr>
              <w:t>分；方案所包含的要点齐全、内容与要点相符、每个要点均有展开阐述但部分能够适用于本项目的得</w:t>
            </w:r>
            <w:r>
              <w:rPr>
                <w:rFonts w:hint="eastAsia" w:ascii="宋体" w:hAnsi="宋体" w:eastAsia="宋体" w:cs="宋体"/>
                <w:sz w:val="24"/>
                <w:szCs w:val="24"/>
                <w:highlight w:val="none"/>
                <w:lang w:val="en-US" w:eastAsia="zh-CN"/>
              </w:rPr>
              <w:t>1</w:t>
            </w:r>
            <w:r>
              <w:rPr>
                <w:rFonts w:ascii="宋体" w:hAnsi="宋体" w:eastAsia="宋体" w:cs="宋体"/>
                <w:sz w:val="24"/>
                <w:szCs w:val="24"/>
                <w:highlight w:val="none"/>
              </w:rPr>
              <w:t>.</w:t>
            </w:r>
            <w:r>
              <w:rPr>
                <w:rFonts w:hint="eastAsia" w:ascii="宋体" w:hAnsi="宋体" w:eastAsia="宋体" w:cs="宋体"/>
                <w:sz w:val="24"/>
                <w:szCs w:val="24"/>
                <w:highlight w:val="none"/>
                <w:lang w:val="en-US" w:eastAsia="zh-CN"/>
              </w:rPr>
              <w:t>75</w:t>
            </w:r>
            <w:r>
              <w:rPr>
                <w:rFonts w:ascii="宋体" w:hAnsi="宋体" w:eastAsia="宋体" w:cs="宋体"/>
                <w:sz w:val="24"/>
                <w:szCs w:val="24"/>
                <w:highlight w:val="none"/>
              </w:rPr>
              <w:t>分；方案所包含的要点有缺漏、内容与要点相符但仅有纲要、内容简略，未展开详细阐述</w:t>
            </w:r>
            <w:r>
              <w:rPr>
                <w:rFonts w:hint="eastAsia" w:ascii="宋体" w:hAnsi="宋体" w:eastAsia="宋体" w:cs="宋体"/>
                <w:sz w:val="24"/>
                <w:szCs w:val="24"/>
                <w:highlight w:val="none"/>
                <w:lang w:eastAsia="zh-CN"/>
              </w:rPr>
              <w:t>但</w:t>
            </w:r>
            <w:r>
              <w:rPr>
                <w:rFonts w:ascii="宋体" w:hAnsi="宋体" w:eastAsia="宋体" w:cs="宋体"/>
                <w:sz w:val="24"/>
                <w:szCs w:val="24"/>
                <w:highlight w:val="none"/>
              </w:rPr>
              <w:t>小部分能够适用于本项目的得</w:t>
            </w:r>
            <w:r>
              <w:rPr>
                <w:rFonts w:hint="eastAsia" w:ascii="宋体" w:hAnsi="宋体" w:eastAsia="宋体" w:cs="宋体"/>
                <w:sz w:val="24"/>
                <w:szCs w:val="24"/>
                <w:highlight w:val="none"/>
                <w:lang w:val="en-US" w:eastAsia="zh-CN"/>
              </w:rPr>
              <w:t>1</w:t>
            </w:r>
            <w:r>
              <w:rPr>
                <w:rFonts w:ascii="宋体" w:hAnsi="宋体" w:eastAsia="宋体" w:cs="宋体"/>
                <w:sz w:val="24"/>
                <w:szCs w:val="24"/>
                <w:highlight w:val="none"/>
              </w:rPr>
              <w:t>.</w:t>
            </w:r>
            <w:r>
              <w:rPr>
                <w:rFonts w:hint="eastAsia" w:ascii="宋体" w:hAnsi="宋体" w:eastAsia="宋体" w:cs="宋体"/>
                <w:sz w:val="24"/>
                <w:szCs w:val="24"/>
                <w:highlight w:val="none"/>
                <w:lang w:val="en-US" w:eastAsia="zh-CN"/>
              </w:rPr>
              <w:t>5</w:t>
            </w:r>
            <w:r>
              <w:rPr>
                <w:rFonts w:ascii="宋体" w:hAnsi="宋体" w:eastAsia="宋体" w:cs="宋体"/>
                <w:sz w:val="24"/>
                <w:szCs w:val="24"/>
                <w:highlight w:val="none"/>
              </w:rPr>
              <w:t>分；未提供或内容</w:t>
            </w:r>
            <w:r>
              <w:rPr>
                <w:rFonts w:hint="eastAsia" w:ascii="宋体" w:hAnsi="宋体" w:eastAsia="宋体" w:cs="宋体"/>
                <w:sz w:val="24"/>
                <w:szCs w:val="24"/>
                <w:highlight w:val="none"/>
              </w:rPr>
              <w:t>存在明显</w:t>
            </w:r>
            <w:r>
              <w:rPr>
                <w:rFonts w:ascii="宋体" w:hAnsi="宋体" w:eastAsia="宋体" w:cs="宋体"/>
                <w:sz w:val="24"/>
                <w:szCs w:val="24"/>
                <w:highlight w:val="none"/>
              </w:rPr>
              <w:t>错误、内容</w:t>
            </w:r>
            <w:r>
              <w:rPr>
                <w:rFonts w:hint="eastAsia" w:ascii="宋体" w:hAnsi="宋体" w:eastAsia="宋体" w:cs="宋体"/>
                <w:sz w:val="24"/>
                <w:szCs w:val="24"/>
                <w:highlight w:val="none"/>
                <w:lang w:eastAsia="zh-CN"/>
              </w:rPr>
              <w:t>明显</w:t>
            </w:r>
            <w:r>
              <w:rPr>
                <w:rFonts w:ascii="宋体" w:hAnsi="宋体" w:eastAsia="宋体" w:cs="宋体"/>
                <w:sz w:val="24"/>
                <w:szCs w:val="24"/>
                <w:highlight w:val="none"/>
              </w:rPr>
              <w:t>不适用于本项目需求的均不得分。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23" w:type="dxa"/>
            <w:vAlign w:val="center"/>
          </w:tcPr>
          <w:p>
            <w:pPr>
              <w:pStyle w:val="7"/>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4、项目完整性</w:t>
            </w:r>
          </w:p>
        </w:tc>
        <w:tc>
          <w:tcPr>
            <w:tcW w:w="937" w:type="dxa"/>
            <w:vAlign w:val="center"/>
          </w:tcPr>
          <w:p>
            <w:pPr>
              <w:pStyle w:val="7"/>
              <w:jc w:val="center"/>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3.00</w:t>
            </w:r>
          </w:p>
        </w:tc>
        <w:tc>
          <w:tcPr>
            <w:tcW w:w="1054" w:type="dxa"/>
            <w:vAlign w:val="center"/>
          </w:tcPr>
          <w:p>
            <w:pPr>
              <w:pStyle w:val="7"/>
              <w:jc w:val="center"/>
              <w:rPr>
                <w:rFonts w:hint="eastAsia" w:asciiTheme="minorEastAsia" w:hAnsiTheme="minorEastAsia" w:eastAsiaTheme="minorEastAsia" w:cstheme="minorEastAsia"/>
                <w:sz w:val="24"/>
                <w:szCs w:val="24"/>
                <w:highlight w:val="none"/>
              </w:rPr>
            </w:pPr>
            <w:r>
              <w:rPr>
                <w:rFonts w:hint="eastAsia" w:asciiTheme="minorEastAsia" w:hAnsiTheme="minorEastAsia" w:cstheme="minorEastAsia"/>
                <w:sz w:val="24"/>
                <w:szCs w:val="24"/>
                <w:highlight w:val="none"/>
                <w:lang w:eastAsia="zh-CN"/>
              </w:rPr>
              <w:t>否</w:t>
            </w:r>
          </w:p>
        </w:tc>
        <w:tc>
          <w:tcPr>
            <w:tcW w:w="6101" w:type="dxa"/>
          </w:tcPr>
          <w:p>
            <w:pPr>
              <w:pStyle w:val="7"/>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根据投标人针对本项目提供的</w:t>
            </w:r>
            <w:r>
              <w:rPr>
                <w:rFonts w:hint="eastAsia" w:asciiTheme="minorEastAsia" w:hAnsiTheme="minorEastAsia" w:cstheme="minorEastAsia"/>
                <w:sz w:val="24"/>
                <w:szCs w:val="24"/>
                <w:highlight w:val="none"/>
                <w:lang w:val="en-US" w:eastAsia="zh-CN"/>
              </w:rPr>
              <w:t>项目完整性（</w:t>
            </w:r>
            <w:r>
              <w:rPr>
                <w:rFonts w:hint="eastAsia" w:asciiTheme="minorEastAsia" w:hAnsiTheme="minorEastAsia" w:eastAsiaTheme="minorEastAsia" w:cstheme="minorEastAsia"/>
                <w:sz w:val="24"/>
                <w:szCs w:val="24"/>
                <w:highlight w:val="none"/>
              </w:rPr>
              <w:t>包括但不限于：</w:t>
            </w:r>
            <w:r>
              <w:rPr>
                <w:rFonts w:hint="eastAsia" w:asciiTheme="minorEastAsia" w:hAnsiTheme="minorEastAsia" w:cstheme="minorEastAsia"/>
                <w:sz w:val="24"/>
                <w:szCs w:val="24"/>
                <w:highlight w:val="none"/>
                <w:lang w:eastAsia="zh-CN"/>
              </w:rPr>
              <w:t>①</w:t>
            </w:r>
            <w:r>
              <w:rPr>
                <w:rFonts w:hint="eastAsia" w:asciiTheme="minorEastAsia" w:hAnsiTheme="minorEastAsia" w:eastAsiaTheme="minorEastAsia" w:cstheme="minorEastAsia"/>
                <w:sz w:val="24"/>
                <w:szCs w:val="24"/>
                <w:highlight w:val="none"/>
              </w:rPr>
              <w:t>服务质量保证措施、</w:t>
            </w:r>
            <w:r>
              <w:rPr>
                <w:rFonts w:hint="eastAsia" w:asciiTheme="minorEastAsia" w:hAnsiTheme="minorEastAsia" w:cstheme="minorEastAsia"/>
                <w:sz w:val="24"/>
                <w:szCs w:val="24"/>
                <w:highlight w:val="none"/>
                <w:lang w:eastAsia="zh-CN"/>
              </w:rPr>
              <w:t>②</w:t>
            </w:r>
            <w:r>
              <w:rPr>
                <w:rFonts w:hint="eastAsia" w:asciiTheme="minorEastAsia" w:hAnsiTheme="minorEastAsia" w:eastAsiaTheme="minorEastAsia" w:cstheme="minorEastAsia"/>
                <w:sz w:val="24"/>
                <w:szCs w:val="24"/>
                <w:highlight w:val="none"/>
              </w:rPr>
              <w:t>应急解决方案等</w:t>
            </w:r>
            <w:r>
              <w:rPr>
                <w:rFonts w:hint="eastAsia" w:asciiTheme="minorEastAsia" w:hAnsiTheme="minorEastAsia" w:cstheme="minorEastAsia"/>
                <w:sz w:val="24"/>
                <w:szCs w:val="24"/>
                <w:highlight w:val="none"/>
                <w:lang w:val="en-US" w:eastAsia="zh-CN"/>
              </w:rPr>
              <w:t>），</w:t>
            </w:r>
            <w:r>
              <w:rPr>
                <w:rFonts w:ascii="宋体" w:hAnsi="宋体" w:eastAsia="宋体" w:cs="宋体"/>
                <w:sz w:val="24"/>
                <w:szCs w:val="24"/>
                <w:highlight w:val="none"/>
              </w:rPr>
              <w:t>由评标委员会进行评分：方案包含的要点齐全无缺漏项、内容与要点相符、每个要点均有展开详细的阐述且能够适用于本项目得3分；方案所包含的要点齐全、内容与要点相符、每个要点均有展开阐述但部分能够适用于本项目的得2.</w:t>
            </w:r>
            <w:r>
              <w:rPr>
                <w:rFonts w:hint="eastAsia" w:ascii="宋体" w:hAnsi="宋体" w:eastAsia="宋体" w:cs="宋体"/>
                <w:sz w:val="24"/>
                <w:szCs w:val="24"/>
                <w:highlight w:val="none"/>
                <w:lang w:val="en-US" w:eastAsia="zh-CN"/>
              </w:rPr>
              <w:t>75</w:t>
            </w:r>
            <w:r>
              <w:rPr>
                <w:rFonts w:ascii="宋体" w:hAnsi="宋体" w:eastAsia="宋体" w:cs="宋体"/>
                <w:sz w:val="24"/>
                <w:szCs w:val="24"/>
                <w:highlight w:val="none"/>
              </w:rPr>
              <w:t>分；方案所包含的要点有缺漏、内容与要点相符但仅有纲要、内容简略，未展开详细阐述</w:t>
            </w:r>
            <w:r>
              <w:rPr>
                <w:rFonts w:hint="eastAsia" w:ascii="宋体" w:hAnsi="宋体" w:eastAsia="宋体" w:cs="宋体"/>
                <w:sz w:val="24"/>
                <w:szCs w:val="24"/>
                <w:highlight w:val="none"/>
                <w:lang w:eastAsia="zh-CN"/>
              </w:rPr>
              <w:t>但</w:t>
            </w:r>
            <w:r>
              <w:rPr>
                <w:rFonts w:ascii="宋体" w:hAnsi="宋体" w:eastAsia="宋体" w:cs="宋体"/>
                <w:sz w:val="24"/>
                <w:szCs w:val="24"/>
                <w:highlight w:val="none"/>
              </w:rPr>
              <w:t>小部分能够适用于本项目的得2.</w:t>
            </w:r>
            <w:r>
              <w:rPr>
                <w:rFonts w:hint="eastAsia" w:ascii="宋体" w:hAnsi="宋体" w:eastAsia="宋体" w:cs="宋体"/>
                <w:sz w:val="24"/>
                <w:szCs w:val="24"/>
                <w:highlight w:val="none"/>
                <w:lang w:val="en-US" w:eastAsia="zh-CN"/>
              </w:rPr>
              <w:t>5</w:t>
            </w:r>
            <w:r>
              <w:rPr>
                <w:rFonts w:ascii="宋体" w:hAnsi="宋体" w:eastAsia="宋体" w:cs="宋体"/>
                <w:sz w:val="24"/>
                <w:szCs w:val="24"/>
                <w:highlight w:val="none"/>
              </w:rPr>
              <w:t>分；未提供或内容</w:t>
            </w:r>
            <w:r>
              <w:rPr>
                <w:rFonts w:hint="eastAsia" w:ascii="宋体" w:hAnsi="宋体" w:eastAsia="宋体" w:cs="宋体"/>
                <w:sz w:val="24"/>
                <w:szCs w:val="24"/>
                <w:highlight w:val="none"/>
              </w:rPr>
              <w:t>存在明显</w:t>
            </w:r>
            <w:r>
              <w:rPr>
                <w:rFonts w:ascii="宋体" w:hAnsi="宋体" w:eastAsia="宋体" w:cs="宋体"/>
                <w:sz w:val="24"/>
                <w:szCs w:val="24"/>
                <w:highlight w:val="none"/>
              </w:rPr>
              <w:t>错误、内容</w:t>
            </w:r>
            <w:r>
              <w:rPr>
                <w:rFonts w:hint="eastAsia" w:ascii="宋体" w:hAnsi="宋体" w:eastAsia="宋体" w:cs="宋体"/>
                <w:sz w:val="24"/>
                <w:szCs w:val="24"/>
                <w:highlight w:val="none"/>
                <w:lang w:eastAsia="zh-CN"/>
              </w:rPr>
              <w:t>明显</w:t>
            </w:r>
            <w:r>
              <w:rPr>
                <w:rFonts w:ascii="宋体" w:hAnsi="宋体" w:eastAsia="宋体" w:cs="宋体"/>
                <w:sz w:val="24"/>
                <w:szCs w:val="24"/>
                <w:highlight w:val="none"/>
              </w:rPr>
              <w:t>不适用于本项目需求的均不得分。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23" w:type="dxa"/>
            <w:shd w:val="clear" w:color="auto" w:fill="auto"/>
            <w:vAlign w:val="center"/>
          </w:tcPr>
          <w:p>
            <w:pPr>
              <w:pStyle w:val="7"/>
              <w:jc w:val="center"/>
              <w:rPr>
                <w:rFonts w:hint="eastAsia" w:asciiTheme="minorEastAsia" w:hAnsiTheme="minorEastAsia" w:eastAsiaTheme="minorEastAsia" w:cstheme="minorEastAsia"/>
                <w:sz w:val="24"/>
                <w:szCs w:val="24"/>
                <w:highlight w:val="none"/>
                <w:lang w:val="en-US" w:eastAsia="zh-Hans"/>
              </w:rPr>
            </w:pPr>
            <w:r>
              <w:rPr>
                <w:rFonts w:hint="eastAsia" w:asciiTheme="minorEastAsia" w:hAnsiTheme="minorEastAsia" w:cstheme="minorEastAsia"/>
                <w:sz w:val="24"/>
                <w:szCs w:val="24"/>
                <w:highlight w:val="none"/>
                <w:lang w:val="en-US" w:eastAsia="zh-CN"/>
              </w:rPr>
              <w:t>5、</w:t>
            </w:r>
            <w:r>
              <w:rPr>
                <w:rFonts w:hint="eastAsia" w:asciiTheme="minorEastAsia" w:hAnsiTheme="minorEastAsia" w:eastAsiaTheme="minorEastAsia" w:cstheme="minorEastAsia"/>
                <w:sz w:val="24"/>
                <w:szCs w:val="24"/>
                <w:highlight w:val="none"/>
              </w:rPr>
              <w:t>沟通机制</w:t>
            </w:r>
          </w:p>
        </w:tc>
        <w:tc>
          <w:tcPr>
            <w:tcW w:w="937" w:type="dxa"/>
            <w:shd w:val="clear" w:color="auto" w:fill="auto"/>
            <w:vAlign w:val="center"/>
          </w:tcPr>
          <w:p>
            <w:pPr>
              <w:jc w:val="center"/>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cstheme="minorEastAsia"/>
                <w:sz w:val="24"/>
                <w:szCs w:val="24"/>
                <w:highlight w:val="none"/>
                <w:lang w:val="en-US" w:eastAsia="zh-CN"/>
              </w:rPr>
              <w:t>3.00</w:t>
            </w:r>
          </w:p>
        </w:tc>
        <w:tc>
          <w:tcPr>
            <w:tcW w:w="1054" w:type="dxa"/>
            <w:shd w:val="clear" w:color="auto" w:fill="auto"/>
            <w:vAlign w:val="center"/>
          </w:tcPr>
          <w:p>
            <w:pPr>
              <w:jc w:val="center"/>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cstheme="minorEastAsia"/>
                <w:sz w:val="24"/>
                <w:szCs w:val="24"/>
                <w:highlight w:val="none"/>
                <w:lang w:eastAsia="zh-CN"/>
              </w:rPr>
              <w:t>否</w:t>
            </w:r>
          </w:p>
        </w:tc>
        <w:tc>
          <w:tcPr>
            <w:tcW w:w="6101" w:type="dxa"/>
            <w:shd w:val="clear" w:color="auto" w:fill="auto"/>
            <w:vAlign w:val="top"/>
          </w:tcPr>
          <w:p>
            <w:pPr>
              <w:pStyle w:val="7"/>
              <w:jc w:val="both"/>
              <w:rPr>
                <w:rFonts w:hint="eastAsia" w:asciiTheme="minorEastAsia" w:hAnsiTheme="minorEastAsia" w:eastAsiaTheme="minorEastAsia" w:cstheme="minorEastAsia"/>
                <w:sz w:val="24"/>
                <w:szCs w:val="24"/>
                <w:highlight w:val="none"/>
                <w:lang w:val="en-US" w:eastAsia="zh-Hans"/>
              </w:rPr>
            </w:pPr>
            <w:r>
              <w:rPr>
                <w:rFonts w:hint="eastAsia" w:asciiTheme="minorEastAsia" w:hAnsiTheme="minorEastAsia" w:eastAsiaTheme="minorEastAsia" w:cstheme="minorEastAsia"/>
                <w:sz w:val="24"/>
                <w:szCs w:val="24"/>
                <w:highlight w:val="none"/>
              </w:rPr>
              <w:t>投标人提供在投放期间采购人与投标人有效沟通机制（包含</w:t>
            </w:r>
            <w:r>
              <w:rPr>
                <w:rFonts w:hint="eastAsia" w:asciiTheme="minorEastAsia" w:hAnsiTheme="minorEastAsia" w:cstheme="minorEastAsia"/>
                <w:sz w:val="24"/>
                <w:szCs w:val="24"/>
                <w:highlight w:val="none"/>
                <w:lang w:eastAsia="zh-CN"/>
              </w:rPr>
              <w:t>但不限于①</w:t>
            </w:r>
            <w:r>
              <w:rPr>
                <w:rFonts w:hint="eastAsia" w:asciiTheme="minorEastAsia" w:hAnsiTheme="minorEastAsia" w:eastAsiaTheme="minorEastAsia" w:cstheme="minorEastAsia"/>
                <w:sz w:val="24"/>
                <w:szCs w:val="24"/>
                <w:highlight w:val="none"/>
              </w:rPr>
              <w:t>沟通渠道、</w:t>
            </w:r>
            <w:r>
              <w:rPr>
                <w:rFonts w:hint="eastAsia" w:asciiTheme="minorEastAsia" w:hAnsiTheme="minorEastAsia" w:cstheme="minorEastAsia"/>
                <w:sz w:val="24"/>
                <w:szCs w:val="24"/>
                <w:highlight w:val="none"/>
                <w:lang w:eastAsia="zh-CN"/>
              </w:rPr>
              <w:t>②</w:t>
            </w:r>
            <w:r>
              <w:rPr>
                <w:rFonts w:hint="eastAsia" w:asciiTheme="minorEastAsia" w:hAnsiTheme="minorEastAsia" w:eastAsiaTheme="minorEastAsia" w:cstheme="minorEastAsia"/>
                <w:sz w:val="24"/>
                <w:szCs w:val="24"/>
                <w:highlight w:val="none"/>
              </w:rPr>
              <w:t>沟通人员、</w:t>
            </w:r>
            <w:r>
              <w:rPr>
                <w:rFonts w:hint="eastAsia" w:asciiTheme="minorEastAsia" w:hAnsiTheme="minorEastAsia" w:cstheme="minorEastAsia"/>
                <w:sz w:val="24"/>
                <w:szCs w:val="24"/>
                <w:highlight w:val="none"/>
                <w:lang w:eastAsia="zh-CN"/>
              </w:rPr>
              <w:t>③</w:t>
            </w:r>
            <w:r>
              <w:rPr>
                <w:rFonts w:hint="eastAsia" w:asciiTheme="minorEastAsia" w:hAnsiTheme="minorEastAsia" w:eastAsiaTheme="minorEastAsia" w:cstheme="minorEastAsia"/>
                <w:sz w:val="24"/>
                <w:szCs w:val="24"/>
                <w:highlight w:val="none"/>
              </w:rPr>
              <w:t>沟通方式等）由评委进行评分</w:t>
            </w:r>
            <w:r>
              <w:rPr>
                <w:rFonts w:hint="eastAsia" w:asciiTheme="minorEastAsia" w:hAnsi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机制完整、周全、可操作性强，包含的要点齐全无缺漏项、内容与要点相符、每个要点均有展开详细的阐述且能够适用于本项目的得</w:t>
            </w:r>
            <w:r>
              <w:rPr>
                <w:rFonts w:hint="eastAsia" w:asciiTheme="minorEastAsia" w:hAnsi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rPr>
              <w:t>分；机制较完整、周全、可操作性较强，分析内容所包含的要点齐全、内容与要点相符、每个要点均有展开阐述（没有特别具体）但基本能够适用于本项目的得</w:t>
            </w:r>
            <w:r>
              <w:rPr>
                <w:rFonts w:hint="eastAsia" w:asciiTheme="minorEastAsia" w:hAnsiTheme="minorEastAsia" w:cstheme="minorEastAsia"/>
                <w:sz w:val="24"/>
                <w:szCs w:val="24"/>
                <w:highlight w:val="none"/>
                <w:lang w:val="en-US" w:eastAsia="zh-CN"/>
              </w:rPr>
              <w:t>2.75</w:t>
            </w:r>
            <w:r>
              <w:rPr>
                <w:rFonts w:hint="eastAsia" w:asciiTheme="minorEastAsia" w:hAnsiTheme="minorEastAsia" w:eastAsiaTheme="minorEastAsia" w:cstheme="minorEastAsia"/>
                <w:sz w:val="24"/>
                <w:szCs w:val="24"/>
                <w:highlight w:val="none"/>
              </w:rPr>
              <w:t>分；机制一般，可操作性一般，内容所包含的要点齐全、内容与要点相符但仅有纲要、内容简略，未展开详细阐述但基本能够适用于本项目的得</w:t>
            </w:r>
            <w:r>
              <w:rPr>
                <w:rFonts w:hint="eastAsia" w:asciiTheme="minorEastAsia" w:hAnsiTheme="minorEastAsia" w:cstheme="minorEastAsia"/>
                <w:sz w:val="24"/>
                <w:szCs w:val="24"/>
                <w:highlight w:val="none"/>
                <w:lang w:val="en-US" w:eastAsia="zh-CN"/>
              </w:rPr>
              <w:t>2.5</w:t>
            </w:r>
            <w:r>
              <w:rPr>
                <w:rFonts w:hint="eastAsia" w:asciiTheme="minorEastAsia" w:hAnsiTheme="minorEastAsia" w:eastAsiaTheme="minorEastAsia" w:cstheme="minorEastAsia"/>
                <w:sz w:val="24"/>
                <w:szCs w:val="24"/>
                <w:highlight w:val="none"/>
              </w:rPr>
              <w:t>分。未提供或提供的与本项不符的不得分。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23" w:type="dxa"/>
            <w:shd w:val="clear" w:color="auto" w:fill="auto"/>
            <w:vAlign w:val="center"/>
          </w:tcPr>
          <w:p>
            <w:pPr>
              <w:pStyle w:val="7"/>
              <w:jc w:val="center"/>
              <w:rPr>
                <w:rFonts w:hint="eastAsia" w:asciiTheme="minorEastAsia" w:hAnsiTheme="minorEastAsia" w:eastAsiaTheme="minorEastAsia" w:cstheme="minorEastAsia"/>
                <w:sz w:val="24"/>
                <w:szCs w:val="24"/>
                <w:highlight w:val="none"/>
                <w:lang w:val="en-US" w:eastAsia="zh-Hans"/>
              </w:rPr>
            </w:pPr>
            <w:r>
              <w:rPr>
                <w:rFonts w:hint="eastAsia" w:asciiTheme="minorEastAsia" w:hAnsiTheme="minorEastAsia" w:cstheme="minorEastAsia"/>
                <w:sz w:val="24"/>
                <w:szCs w:val="24"/>
                <w:highlight w:val="none"/>
                <w:lang w:val="en-US" w:eastAsia="zh-CN"/>
              </w:rPr>
              <w:t>6、</w:t>
            </w:r>
            <w:r>
              <w:rPr>
                <w:rFonts w:hint="eastAsia" w:asciiTheme="minorEastAsia" w:hAnsiTheme="minorEastAsia" w:eastAsiaTheme="minorEastAsia" w:cstheme="minorEastAsia"/>
                <w:sz w:val="24"/>
                <w:szCs w:val="24"/>
                <w:highlight w:val="none"/>
              </w:rPr>
              <w:t>人员变动替补办法</w:t>
            </w:r>
          </w:p>
        </w:tc>
        <w:tc>
          <w:tcPr>
            <w:tcW w:w="937" w:type="dxa"/>
            <w:shd w:val="clear" w:color="auto" w:fill="auto"/>
            <w:vAlign w:val="center"/>
          </w:tcPr>
          <w:p>
            <w:pPr>
              <w:jc w:val="center"/>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cstheme="minorEastAsia"/>
                <w:sz w:val="24"/>
                <w:szCs w:val="24"/>
                <w:highlight w:val="none"/>
                <w:lang w:val="en-US" w:eastAsia="zh-CN"/>
              </w:rPr>
              <w:t>3.00</w:t>
            </w:r>
          </w:p>
        </w:tc>
        <w:tc>
          <w:tcPr>
            <w:tcW w:w="1054" w:type="dxa"/>
            <w:shd w:val="clear" w:color="auto" w:fill="auto"/>
            <w:vAlign w:val="center"/>
          </w:tcPr>
          <w:p>
            <w:pPr>
              <w:jc w:val="center"/>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cstheme="minorEastAsia"/>
                <w:sz w:val="24"/>
                <w:szCs w:val="24"/>
                <w:highlight w:val="none"/>
                <w:lang w:eastAsia="zh-CN"/>
              </w:rPr>
              <w:t>否</w:t>
            </w:r>
          </w:p>
        </w:tc>
        <w:tc>
          <w:tcPr>
            <w:tcW w:w="6101" w:type="dxa"/>
            <w:shd w:val="clear" w:color="auto" w:fill="auto"/>
            <w:vAlign w:val="top"/>
          </w:tcPr>
          <w:p>
            <w:pPr>
              <w:pStyle w:val="7"/>
              <w:jc w:val="both"/>
              <w:rPr>
                <w:rFonts w:hint="eastAsia" w:asciiTheme="minorEastAsia" w:hAnsiTheme="minorEastAsia" w:eastAsiaTheme="minorEastAsia" w:cstheme="minorEastAsia"/>
                <w:sz w:val="24"/>
                <w:szCs w:val="24"/>
                <w:highlight w:val="none"/>
                <w:lang w:val="en-US" w:eastAsia="zh-Hans"/>
              </w:rPr>
            </w:pPr>
            <w:r>
              <w:rPr>
                <w:rFonts w:hint="eastAsia" w:asciiTheme="minorEastAsia" w:hAnsiTheme="minorEastAsia" w:eastAsiaTheme="minorEastAsia" w:cstheme="minorEastAsia"/>
                <w:sz w:val="24"/>
                <w:szCs w:val="24"/>
                <w:highlight w:val="none"/>
              </w:rPr>
              <w:t>根据投标人针对本项目制定的人员变动替补办法（包含</w:t>
            </w:r>
            <w:r>
              <w:rPr>
                <w:rFonts w:hint="eastAsia" w:asciiTheme="minorEastAsia" w:hAnsiTheme="minorEastAsia" w:cstheme="minorEastAsia"/>
                <w:sz w:val="24"/>
                <w:szCs w:val="24"/>
                <w:highlight w:val="none"/>
                <w:lang w:eastAsia="zh-CN"/>
              </w:rPr>
              <w:t>但不限于</w:t>
            </w:r>
            <w:r>
              <w:rPr>
                <w:rFonts w:hint="eastAsia" w:asciiTheme="minorEastAsia" w:hAnsiTheme="minorEastAsia" w:eastAsiaTheme="minorEastAsia" w:cstheme="minorEastAsia"/>
                <w:sz w:val="24"/>
                <w:szCs w:val="24"/>
                <w:highlight w:val="none"/>
              </w:rPr>
              <w:t xml:space="preserve"> ①工作替岗人员安排、</w:t>
            </w:r>
            <w:r>
              <w:rPr>
                <w:rFonts w:hint="eastAsia" w:asciiTheme="minorEastAsia" w:hAnsiTheme="minorEastAsia" w:cstheme="minorEastAsia"/>
                <w:sz w:val="24"/>
                <w:szCs w:val="24"/>
                <w:highlight w:val="none"/>
                <w:lang w:eastAsia="zh-CN"/>
              </w:rPr>
              <w:t>②</w:t>
            </w:r>
            <w:r>
              <w:rPr>
                <w:rFonts w:hint="eastAsia" w:asciiTheme="minorEastAsia" w:hAnsiTheme="minorEastAsia" w:eastAsiaTheme="minorEastAsia" w:cstheme="minorEastAsia"/>
                <w:sz w:val="24"/>
                <w:szCs w:val="24"/>
                <w:highlight w:val="none"/>
              </w:rPr>
              <w:t>工作交接流程、</w:t>
            </w:r>
            <w:r>
              <w:rPr>
                <w:rFonts w:hint="eastAsia" w:asciiTheme="minorEastAsia" w:hAnsiTheme="minorEastAsia" w:cstheme="minorEastAsia"/>
                <w:sz w:val="24"/>
                <w:szCs w:val="24"/>
                <w:highlight w:val="none"/>
                <w:lang w:eastAsia="zh-CN"/>
              </w:rPr>
              <w:t>③</w:t>
            </w:r>
            <w:r>
              <w:rPr>
                <w:rFonts w:hint="eastAsia" w:asciiTheme="minorEastAsia" w:hAnsiTheme="minorEastAsia" w:eastAsiaTheme="minorEastAsia" w:cstheme="minorEastAsia"/>
                <w:sz w:val="24"/>
                <w:szCs w:val="24"/>
                <w:highlight w:val="none"/>
              </w:rPr>
              <w:t>档案交接流程</w:t>
            </w:r>
            <w:r>
              <w:rPr>
                <w:rFonts w:hint="eastAsia" w:asciiTheme="minorEastAsia" w:hAnsiTheme="minorEastAsia" w:cstheme="minorEastAsia"/>
                <w:sz w:val="24"/>
                <w:szCs w:val="24"/>
                <w:highlight w:val="none"/>
                <w:lang w:eastAsia="zh-CN"/>
              </w:rPr>
              <w:t>、④</w:t>
            </w:r>
            <w:r>
              <w:rPr>
                <w:rFonts w:hint="eastAsia" w:asciiTheme="minorEastAsia" w:hAnsiTheme="minorEastAsia" w:eastAsiaTheme="minorEastAsia" w:cstheme="minorEastAsia"/>
                <w:sz w:val="24"/>
                <w:szCs w:val="24"/>
                <w:highlight w:val="none"/>
              </w:rPr>
              <w:t>若有人员退出</w:t>
            </w:r>
            <w:r>
              <w:rPr>
                <w:rFonts w:hint="eastAsia" w:asciiTheme="minorEastAsia" w:hAnsi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能在一周内快速补充同等资质及经验的人员到岗</w:t>
            </w:r>
            <w:r>
              <w:rPr>
                <w:rFonts w:hint="eastAsia" w:asciiTheme="minorEastAsia" w:hAnsiTheme="minorEastAsia" w:cstheme="minorEastAsia"/>
                <w:sz w:val="24"/>
                <w:szCs w:val="24"/>
                <w:highlight w:val="none"/>
                <w:lang w:eastAsia="zh-CN"/>
              </w:rPr>
              <w:t>、⑤</w:t>
            </w:r>
            <w:r>
              <w:rPr>
                <w:rFonts w:hint="eastAsia" w:asciiTheme="minorEastAsia" w:hAnsiTheme="minorEastAsia" w:eastAsiaTheme="minorEastAsia" w:cstheme="minorEastAsia"/>
                <w:sz w:val="24"/>
                <w:szCs w:val="24"/>
                <w:highlight w:val="none"/>
              </w:rPr>
              <w:t>为本项目配备的人员，若被发现不能履职尽岗的，采购人有权提出更换同等资质及经验人员等</w:t>
            </w:r>
            <w:r>
              <w:rPr>
                <w:rFonts w:hint="eastAsia" w:asciiTheme="minorEastAsia" w:hAnsi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w:t>
            </w:r>
            <w:r>
              <w:rPr>
                <w:rFonts w:ascii="宋体" w:hAnsi="宋体" w:eastAsia="宋体" w:cs="宋体"/>
                <w:sz w:val="24"/>
                <w:szCs w:val="24"/>
                <w:highlight w:val="none"/>
              </w:rPr>
              <w:t>由评标委员会进行评分：方案包含的要点齐全无缺漏项、内容与要点相符、每个要点均有展开详细的阐述且能够适用于本项目得3分；方案所包含的要点齐全、内容与要点相符、每个要点均有展开阐述但部分能够适用于本项目的得2.</w:t>
            </w:r>
            <w:r>
              <w:rPr>
                <w:rFonts w:hint="eastAsia" w:ascii="宋体" w:hAnsi="宋体" w:eastAsia="宋体" w:cs="宋体"/>
                <w:sz w:val="24"/>
                <w:szCs w:val="24"/>
                <w:highlight w:val="none"/>
                <w:lang w:val="en-US" w:eastAsia="zh-CN"/>
              </w:rPr>
              <w:t>75</w:t>
            </w:r>
            <w:r>
              <w:rPr>
                <w:rFonts w:ascii="宋体" w:hAnsi="宋体" w:eastAsia="宋体" w:cs="宋体"/>
                <w:sz w:val="24"/>
                <w:szCs w:val="24"/>
                <w:highlight w:val="none"/>
              </w:rPr>
              <w:t>分；方案所包含的要点有缺漏、内容与要点相符但仅有纲要、内容简略，未展开详细阐述</w:t>
            </w:r>
            <w:r>
              <w:rPr>
                <w:rFonts w:hint="eastAsia" w:ascii="宋体" w:hAnsi="宋体" w:eastAsia="宋体" w:cs="宋体"/>
                <w:sz w:val="24"/>
                <w:szCs w:val="24"/>
                <w:highlight w:val="none"/>
                <w:lang w:eastAsia="zh-CN"/>
              </w:rPr>
              <w:t>但</w:t>
            </w:r>
            <w:r>
              <w:rPr>
                <w:rFonts w:ascii="宋体" w:hAnsi="宋体" w:eastAsia="宋体" w:cs="宋体"/>
                <w:sz w:val="24"/>
                <w:szCs w:val="24"/>
                <w:highlight w:val="none"/>
              </w:rPr>
              <w:t>小部分能够适用于本项目的得2.</w:t>
            </w:r>
            <w:r>
              <w:rPr>
                <w:rFonts w:hint="eastAsia" w:ascii="宋体" w:hAnsi="宋体" w:eastAsia="宋体" w:cs="宋体"/>
                <w:sz w:val="24"/>
                <w:szCs w:val="24"/>
                <w:highlight w:val="none"/>
                <w:lang w:val="en-US" w:eastAsia="zh-CN"/>
              </w:rPr>
              <w:t>5</w:t>
            </w:r>
            <w:r>
              <w:rPr>
                <w:rFonts w:ascii="宋体" w:hAnsi="宋体" w:eastAsia="宋体" w:cs="宋体"/>
                <w:sz w:val="24"/>
                <w:szCs w:val="24"/>
                <w:highlight w:val="none"/>
              </w:rPr>
              <w:t>分；未提供或内容</w:t>
            </w:r>
            <w:r>
              <w:rPr>
                <w:rFonts w:hint="eastAsia" w:ascii="宋体" w:hAnsi="宋体" w:eastAsia="宋体" w:cs="宋体"/>
                <w:sz w:val="24"/>
                <w:szCs w:val="24"/>
                <w:highlight w:val="none"/>
              </w:rPr>
              <w:t>存在明显</w:t>
            </w:r>
            <w:r>
              <w:rPr>
                <w:rFonts w:ascii="宋体" w:hAnsi="宋体" w:eastAsia="宋体" w:cs="宋体"/>
                <w:sz w:val="24"/>
                <w:szCs w:val="24"/>
                <w:highlight w:val="none"/>
              </w:rPr>
              <w:t>错误、内容</w:t>
            </w:r>
            <w:r>
              <w:rPr>
                <w:rFonts w:hint="eastAsia" w:ascii="宋体" w:hAnsi="宋体" w:eastAsia="宋体" w:cs="宋体"/>
                <w:sz w:val="24"/>
                <w:szCs w:val="24"/>
                <w:highlight w:val="none"/>
                <w:lang w:eastAsia="zh-CN"/>
              </w:rPr>
              <w:t>明显</w:t>
            </w:r>
            <w:r>
              <w:rPr>
                <w:rFonts w:ascii="宋体" w:hAnsi="宋体" w:eastAsia="宋体" w:cs="宋体"/>
                <w:sz w:val="24"/>
                <w:szCs w:val="24"/>
                <w:highlight w:val="none"/>
              </w:rPr>
              <w:t>不适用于本项目需求的均不得分。</w:t>
            </w:r>
          </w:p>
        </w:tc>
      </w:tr>
    </w:tbl>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商务项（F3×A3）满分为</w:t>
      </w:r>
      <w:r>
        <w:rPr>
          <w:rFonts w:hint="eastAsia" w:asciiTheme="minorEastAsia" w:hAnsiTheme="minorEastAsia" w:cstheme="minorEastAsia"/>
          <w:color w:val="auto"/>
          <w:sz w:val="24"/>
          <w:szCs w:val="24"/>
          <w:lang w:val="en-US" w:eastAsia="zh-CN"/>
        </w:rPr>
        <w:t>17</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sz w:val="24"/>
          <w:szCs w:val="24"/>
        </w:rPr>
        <w:t>0000分</w:t>
      </w:r>
    </w:p>
    <w:tbl>
      <w:tblPr>
        <w:tblStyle w:val="5"/>
        <w:tblW w:w="961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537"/>
        <w:gridCol w:w="925"/>
        <w:gridCol w:w="1052"/>
        <w:gridCol w:w="610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37"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925"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1052"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是否客观项</w:t>
            </w:r>
          </w:p>
        </w:tc>
        <w:tc>
          <w:tcPr>
            <w:tcW w:w="610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37" w:type="dxa"/>
            <w:shd w:val="clear" w:color="auto" w:fill="auto"/>
            <w:vAlign w:val="center"/>
          </w:tcPr>
          <w:p>
            <w:pPr>
              <w:pStyle w:val="7"/>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1、业绩</w:t>
            </w:r>
          </w:p>
        </w:tc>
        <w:tc>
          <w:tcPr>
            <w:tcW w:w="925" w:type="dxa"/>
            <w:shd w:val="clear" w:color="auto" w:fill="auto"/>
            <w:vAlign w:val="center"/>
          </w:tcPr>
          <w:p>
            <w:pPr>
              <w:pStyle w:val="7"/>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3.00</w:t>
            </w:r>
          </w:p>
        </w:tc>
        <w:tc>
          <w:tcPr>
            <w:tcW w:w="1052" w:type="dxa"/>
            <w:shd w:val="clear" w:color="auto" w:fill="auto"/>
            <w:vAlign w:val="center"/>
          </w:tcPr>
          <w:p>
            <w:pPr>
              <w:pStyle w:val="7"/>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eastAsia="zh-CN"/>
              </w:rPr>
              <w:t>是</w:t>
            </w:r>
          </w:p>
        </w:tc>
        <w:tc>
          <w:tcPr>
            <w:tcW w:w="6101" w:type="dxa"/>
            <w:shd w:val="clear" w:color="auto" w:fill="auto"/>
            <w:vAlign w:val="center"/>
          </w:tcPr>
          <w:p>
            <w:pPr>
              <w:pStyle w:val="7"/>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根据投标人所提供的自202</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年1月1日起至本项目投标截止时间止(以合同签订日期为准)，由投标人所完成的同类项目业绩情况进行评分：每提供1份完整业绩证明材料的得1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分，满分</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p>
            <w:pPr>
              <w:pStyle w:val="7"/>
              <w:jc w:val="both"/>
              <w:rPr>
                <w:rFonts w:hint="eastAsia" w:asciiTheme="minorEastAsia" w:hAnsiTheme="minorEastAsia" w:eastAsiaTheme="minorEastAsia" w:cstheme="minorEastAsia"/>
                <w:color w:val="auto"/>
                <w:sz w:val="24"/>
                <w:szCs w:val="24"/>
                <w:highlight w:val="none"/>
              </w:rPr>
            </w:pPr>
            <w:r>
              <w:rPr>
                <w:rFonts w:hint="eastAsia" w:ascii="宋体" w:hAnsi="宋体" w:eastAsia="宋体" w:cs="宋体"/>
                <w:color w:val="auto"/>
                <w:sz w:val="24"/>
                <w:szCs w:val="24"/>
                <w:highlight w:val="none"/>
              </w:rPr>
              <w:t>注：投标人须同时提供</w:t>
            </w:r>
            <w:r>
              <w:rPr>
                <w:rFonts w:hint="eastAsia" w:ascii="宋体" w:hAnsi="宋体" w:eastAsia="宋体" w:cs="宋体"/>
                <w:color w:val="auto"/>
                <w:sz w:val="24"/>
                <w:szCs w:val="24"/>
                <w:highlight w:val="none"/>
                <w:lang w:eastAsia="zh-CN"/>
              </w:rPr>
              <w:t>①</w:t>
            </w:r>
            <w:r>
              <w:rPr>
                <w:rFonts w:hint="eastAsia" w:ascii="宋体" w:hAnsi="宋体" w:eastAsia="宋体" w:cs="宋体"/>
                <w:color w:val="auto"/>
                <w:sz w:val="24"/>
                <w:szCs w:val="24"/>
                <w:highlight w:val="none"/>
              </w:rPr>
              <w:t>中标公告(提供相关网站中标公告的下载网页并注明网址)、</w:t>
            </w:r>
            <w:r>
              <w:rPr>
                <w:rFonts w:hint="eastAsia" w:ascii="宋体" w:hAnsi="宋体" w:eastAsia="宋体" w:cs="宋体"/>
                <w:color w:val="auto"/>
                <w:sz w:val="24"/>
                <w:szCs w:val="24"/>
                <w:highlight w:val="none"/>
                <w:lang w:eastAsia="zh-CN"/>
              </w:rPr>
              <w:t>②</w:t>
            </w:r>
            <w:r>
              <w:rPr>
                <w:rFonts w:hint="eastAsia" w:ascii="宋体" w:hAnsi="宋体" w:eastAsia="宋体" w:cs="宋体"/>
                <w:color w:val="auto"/>
                <w:sz w:val="24"/>
                <w:szCs w:val="24"/>
                <w:highlight w:val="none"/>
              </w:rPr>
              <w:t>中标通知书复印件、</w:t>
            </w:r>
            <w:r>
              <w:rPr>
                <w:rFonts w:hint="eastAsia" w:ascii="宋体" w:hAnsi="宋体" w:eastAsia="宋体" w:cs="宋体"/>
                <w:color w:val="auto"/>
                <w:sz w:val="24"/>
                <w:szCs w:val="24"/>
                <w:highlight w:val="none"/>
                <w:lang w:eastAsia="zh-CN"/>
              </w:rPr>
              <w:t>③</w:t>
            </w:r>
            <w:r>
              <w:rPr>
                <w:rFonts w:hint="eastAsia" w:ascii="宋体" w:hAnsi="宋体" w:eastAsia="宋体" w:cs="宋体"/>
                <w:color w:val="auto"/>
                <w:sz w:val="24"/>
                <w:szCs w:val="24"/>
                <w:highlight w:val="none"/>
              </w:rPr>
              <w:t>采购合同文本复印件</w:t>
            </w:r>
            <w:r>
              <w:rPr>
                <w:rFonts w:hint="eastAsia" w:ascii="宋体" w:hAnsi="宋体" w:eastAsia="宋体" w:cs="宋体"/>
                <w:color w:val="auto"/>
                <w:sz w:val="24"/>
                <w:szCs w:val="24"/>
                <w:highlight w:val="none"/>
                <w:lang w:eastAsia="zh-CN"/>
              </w:rPr>
              <w:t>、④</w:t>
            </w:r>
            <w:r>
              <w:rPr>
                <w:rFonts w:hint="eastAsia" w:ascii="宋体" w:hAnsi="宋体" w:eastAsia="宋体" w:cs="宋体"/>
                <w:color w:val="auto"/>
                <w:sz w:val="24"/>
                <w:szCs w:val="24"/>
                <w:highlight w:val="none"/>
              </w:rPr>
              <w:t>能够证明该业绩项目已经采购人验收合格的相关证明文件复印件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未提供</w:t>
            </w:r>
            <w:r>
              <w:rPr>
                <w:rFonts w:hint="eastAsia" w:ascii="宋体" w:hAnsi="宋体" w:eastAsia="宋体" w:cs="宋体"/>
                <w:color w:val="auto"/>
                <w:sz w:val="24"/>
                <w:szCs w:val="24"/>
                <w:highlight w:val="none"/>
                <w:lang w:eastAsia="zh-CN"/>
              </w:rPr>
              <w:t>或提供不全</w:t>
            </w:r>
            <w:r>
              <w:rPr>
                <w:rFonts w:hint="eastAsia" w:ascii="宋体" w:hAnsi="宋体" w:eastAsia="宋体" w:cs="宋体"/>
                <w:color w:val="auto"/>
                <w:sz w:val="24"/>
                <w:szCs w:val="24"/>
                <w:highlight w:val="none"/>
              </w:rPr>
              <w:t>的本项不得分。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37" w:type="dxa"/>
            <w:shd w:val="clear" w:color="auto" w:fill="auto"/>
            <w:vAlign w:val="center"/>
          </w:tcPr>
          <w:p>
            <w:pPr>
              <w:pStyle w:val="7"/>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2、满意度</w:t>
            </w:r>
          </w:p>
        </w:tc>
        <w:tc>
          <w:tcPr>
            <w:tcW w:w="925" w:type="dxa"/>
            <w:shd w:val="clear" w:color="auto" w:fill="auto"/>
            <w:vAlign w:val="center"/>
          </w:tcPr>
          <w:p>
            <w:pPr>
              <w:pStyle w:val="7"/>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3.00</w:t>
            </w:r>
          </w:p>
        </w:tc>
        <w:tc>
          <w:tcPr>
            <w:tcW w:w="1052" w:type="dxa"/>
            <w:shd w:val="clear" w:color="auto" w:fill="auto"/>
            <w:vAlign w:val="center"/>
          </w:tcPr>
          <w:p>
            <w:pPr>
              <w:pStyle w:val="7"/>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eastAsia="zh-CN"/>
              </w:rPr>
              <w:t>是</w:t>
            </w:r>
          </w:p>
        </w:tc>
        <w:tc>
          <w:tcPr>
            <w:tcW w:w="6101" w:type="dxa"/>
            <w:shd w:val="clear" w:color="auto" w:fill="auto"/>
            <w:vAlign w:val="center"/>
          </w:tcPr>
          <w:p>
            <w:pPr>
              <w:pStyle w:val="7"/>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根据投标人提供的自202</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年1月1日起至本项目投标截止时间止（日期以证明材料标注的时间为准），由投标人所</w:t>
            </w:r>
            <w:r>
              <w:rPr>
                <w:rFonts w:hint="eastAsia" w:ascii="宋体" w:hAnsi="宋体" w:eastAsia="宋体" w:cs="宋体"/>
                <w:color w:val="auto"/>
                <w:sz w:val="24"/>
                <w:szCs w:val="24"/>
                <w:highlight w:val="none"/>
                <w:lang w:eastAsia="zh-CN"/>
              </w:rPr>
              <w:t>服务</w:t>
            </w:r>
            <w:r>
              <w:rPr>
                <w:rFonts w:hint="eastAsia" w:ascii="宋体" w:hAnsi="宋体" w:eastAsia="宋体" w:cs="宋体"/>
                <w:color w:val="auto"/>
                <w:sz w:val="24"/>
                <w:szCs w:val="24"/>
                <w:highlight w:val="none"/>
              </w:rPr>
              <w:t>的同类项目</w:t>
            </w:r>
            <w:r>
              <w:rPr>
                <w:rFonts w:hint="eastAsia" w:ascii="宋体" w:hAnsi="宋体" w:eastAsia="宋体" w:cs="宋体"/>
                <w:color w:val="auto"/>
                <w:sz w:val="24"/>
                <w:szCs w:val="24"/>
                <w:highlight w:val="none"/>
                <w:lang w:eastAsia="zh-CN"/>
              </w:rPr>
              <w:t>业主</w:t>
            </w:r>
            <w:r>
              <w:rPr>
                <w:rFonts w:hint="eastAsia" w:ascii="宋体" w:hAnsi="宋体" w:eastAsia="宋体" w:cs="宋体"/>
                <w:color w:val="auto"/>
                <w:sz w:val="24"/>
                <w:szCs w:val="24"/>
                <w:highlight w:val="none"/>
              </w:rPr>
              <w:t>满意度评价情况进行评分：每提供</w:t>
            </w:r>
            <w:r>
              <w:rPr>
                <w:rFonts w:hint="eastAsia" w:ascii="宋体" w:hAnsi="宋体" w:eastAsia="宋体" w:cs="宋体"/>
                <w:color w:val="auto"/>
                <w:sz w:val="24"/>
                <w:szCs w:val="24"/>
                <w:highlight w:val="none"/>
                <w:lang w:eastAsia="zh-CN"/>
              </w:rPr>
              <w:t>一</w:t>
            </w:r>
            <w:r>
              <w:rPr>
                <w:rFonts w:hint="eastAsia" w:ascii="宋体" w:hAnsi="宋体" w:eastAsia="宋体" w:cs="宋体"/>
                <w:color w:val="auto"/>
                <w:sz w:val="24"/>
                <w:szCs w:val="24"/>
                <w:highlight w:val="none"/>
              </w:rPr>
              <w:t>份评价为“优秀”或“满意”或“好”等同等次描述的满意度</w:t>
            </w:r>
            <w:r>
              <w:rPr>
                <w:rFonts w:hint="eastAsia" w:ascii="宋体" w:hAnsi="宋体" w:eastAsia="宋体" w:cs="宋体"/>
                <w:color w:val="auto"/>
                <w:sz w:val="24"/>
                <w:szCs w:val="24"/>
                <w:highlight w:val="none"/>
                <w:lang w:eastAsia="zh-CN"/>
              </w:rPr>
              <w:t>评价</w:t>
            </w:r>
            <w:r>
              <w:rPr>
                <w:rFonts w:hint="eastAsia" w:ascii="宋体" w:hAnsi="宋体" w:eastAsia="宋体" w:cs="宋体"/>
                <w:color w:val="auto"/>
                <w:sz w:val="24"/>
                <w:szCs w:val="24"/>
                <w:highlight w:val="none"/>
              </w:rPr>
              <w:t>证明材料的得1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分，满分</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p>
            <w:pPr>
              <w:pStyle w:val="7"/>
              <w:jc w:val="both"/>
              <w:rPr>
                <w:rFonts w:hint="eastAsia" w:asciiTheme="minorEastAsia" w:hAnsiTheme="minorEastAsia" w:eastAsiaTheme="minorEastAsia" w:cstheme="minorEastAsia"/>
                <w:color w:val="auto"/>
                <w:sz w:val="24"/>
                <w:szCs w:val="24"/>
                <w:highlight w:val="none"/>
              </w:rPr>
            </w:pPr>
            <w:r>
              <w:rPr>
                <w:rFonts w:hint="eastAsia" w:ascii="宋体" w:hAnsi="宋体" w:eastAsia="宋体" w:cs="宋体"/>
                <w:color w:val="auto"/>
                <w:sz w:val="24"/>
                <w:szCs w:val="24"/>
                <w:highlight w:val="none"/>
              </w:rPr>
              <w:t>注：投标人须</w:t>
            </w:r>
            <w:r>
              <w:rPr>
                <w:rFonts w:hint="eastAsia" w:ascii="宋体" w:hAnsi="宋体" w:eastAsia="宋体" w:cs="宋体"/>
                <w:color w:val="auto"/>
                <w:sz w:val="24"/>
                <w:szCs w:val="24"/>
                <w:highlight w:val="none"/>
                <w:lang w:eastAsia="zh-CN"/>
              </w:rPr>
              <w:t>提供业主</w:t>
            </w:r>
            <w:r>
              <w:rPr>
                <w:rFonts w:hint="eastAsia" w:ascii="宋体" w:hAnsi="宋体" w:eastAsia="宋体" w:cs="宋体"/>
                <w:color w:val="auto"/>
                <w:sz w:val="24"/>
                <w:szCs w:val="24"/>
                <w:highlight w:val="none"/>
              </w:rPr>
              <w:t>方盖章</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rPr>
              <w:t>满意度评价证明材料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未提供的本项不得分</w:t>
            </w:r>
            <w:r>
              <w:rPr>
                <w:rFonts w:hint="eastAsia" w:ascii="宋体" w:hAnsi="宋体" w:eastAsia="宋体" w:cs="宋体"/>
                <w:color w:val="auto"/>
                <w:sz w:val="24"/>
                <w:szCs w:val="24"/>
                <w:highlight w:val="none"/>
                <w:lang w:eastAsia="zh-CN"/>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537" w:type="dxa"/>
            <w:vAlign w:val="center"/>
          </w:tcPr>
          <w:p>
            <w:pPr>
              <w:pStyle w:val="7"/>
              <w:jc w:val="center"/>
              <w:rPr>
                <w:rFonts w:hint="default"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3、</w:t>
            </w:r>
            <w:r>
              <w:rPr>
                <w:rFonts w:ascii="宋体" w:hAnsi="宋体"/>
                <w:color w:val="auto"/>
                <w:sz w:val="24"/>
                <w:szCs w:val="24"/>
                <w:highlight w:val="none"/>
              </w:rPr>
              <w:t>项目负责人</w:t>
            </w:r>
          </w:p>
        </w:tc>
        <w:tc>
          <w:tcPr>
            <w:tcW w:w="925" w:type="dxa"/>
            <w:vAlign w:val="center"/>
          </w:tcPr>
          <w:p>
            <w:pPr>
              <w:pStyle w:val="7"/>
              <w:jc w:val="center"/>
              <w:rPr>
                <w:rFonts w:hint="default"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3.00</w:t>
            </w:r>
          </w:p>
        </w:tc>
        <w:tc>
          <w:tcPr>
            <w:tcW w:w="1052" w:type="dxa"/>
            <w:vAlign w:val="center"/>
          </w:tcPr>
          <w:p>
            <w:pPr>
              <w:pStyle w:val="7"/>
              <w:jc w:val="center"/>
              <w:rPr>
                <w:rFonts w:hint="eastAsia" w:asciiTheme="minorEastAsia" w:hAnsiTheme="minorEastAsia" w:cstheme="minorEastAsia"/>
                <w:color w:val="auto"/>
                <w:sz w:val="24"/>
                <w:szCs w:val="24"/>
                <w:highlight w:val="none"/>
                <w:lang w:eastAsia="zh-CN"/>
              </w:rPr>
            </w:pPr>
            <w:r>
              <w:rPr>
                <w:rFonts w:hint="eastAsia" w:asciiTheme="minorEastAsia" w:hAnsiTheme="minorEastAsia" w:cstheme="minorEastAsia"/>
                <w:color w:val="auto"/>
                <w:sz w:val="24"/>
                <w:szCs w:val="24"/>
                <w:highlight w:val="none"/>
                <w:lang w:eastAsia="zh-CN"/>
              </w:rPr>
              <w:t>是</w:t>
            </w:r>
          </w:p>
        </w:tc>
        <w:tc>
          <w:tcPr>
            <w:tcW w:w="6101" w:type="dxa"/>
            <w:vAlign w:val="center"/>
          </w:tcPr>
          <w:p>
            <w:pPr>
              <w:pStyle w:val="7"/>
              <w:jc w:val="both"/>
              <w:rPr>
                <w:rFonts w:ascii="宋体" w:hAnsi="宋体"/>
                <w:color w:val="auto"/>
                <w:sz w:val="24"/>
                <w:szCs w:val="24"/>
                <w:highlight w:val="none"/>
              </w:rPr>
            </w:pPr>
            <w:r>
              <w:rPr>
                <w:rFonts w:ascii="宋体" w:hAnsi="宋体"/>
                <w:color w:val="auto"/>
                <w:sz w:val="24"/>
                <w:szCs w:val="24"/>
                <w:highlight w:val="none"/>
              </w:rPr>
              <w:t>投标人拟</w:t>
            </w:r>
            <w:r>
              <w:rPr>
                <w:rFonts w:hint="eastAsia" w:ascii="宋体" w:hAnsi="宋体"/>
                <w:color w:val="auto"/>
                <w:sz w:val="24"/>
                <w:szCs w:val="24"/>
                <w:highlight w:val="none"/>
                <w:lang w:eastAsia="zh-CN"/>
              </w:rPr>
              <w:t>投入本项目</w:t>
            </w:r>
            <w:r>
              <w:rPr>
                <w:rFonts w:ascii="宋体" w:hAnsi="宋体"/>
                <w:color w:val="auto"/>
                <w:sz w:val="24"/>
                <w:szCs w:val="24"/>
                <w:highlight w:val="none"/>
              </w:rPr>
              <w:t>的项目负责人具有信息系统项目管理师（高级）证书的得</w:t>
            </w:r>
            <w:r>
              <w:rPr>
                <w:rFonts w:hint="eastAsia" w:ascii="宋体" w:hAnsi="宋体"/>
                <w:color w:val="auto"/>
                <w:sz w:val="24"/>
                <w:szCs w:val="24"/>
                <w:highlight w:val="none"/>
                <w:lang w:val="en-US" w:eastAsia="zh-CN"/>
              </w:rPr>
              <w:t>3</w:t>
            </w:r>
            <w:r>
              <w:rPr>
                <w:rFonts w:ascii="宋体" w:hAnsi="宋体"/>
                <w:color w:val="auto"/>
                <w:sz w:val="24"/>
                <w:szCs w:val="24"/>
                <w:highlight w:val="none"/>
              </w:rPr>
              <w:t>分</w:t>
            </w:r>
            <w:r>
              <w:rPr>
                <w:rFonts w:hint="eastAsia" w:ascii="宋体" w:hAnsi="宋体"/>
                <w:color w:val="auto"/>
                <w:sz w:val="24"/>
                <w:szCs w:val="24"/>
                <w:highlight w:val="none"/>
                <w:lang w:eastAsia="zh-CN"/>
              </w:rPr>
              <w:t>。</w:t>
            </w:r>
            <w:r>
              <w:rPr>
                <w:rFonts w:ascii="宋体" w:hAnsi="宋体"/>
                <w:color w:val="auto"/>
                <w:sz w:val="24"/>
                <w:szCs w:val="24"/>
                <w:highlight w:val="none"/>
              </w:rPr>
              <w:t>满分3分。</w:t>
            </w:r>
          </w:p>
          <w:p>
            <w:pPr>
              <w:pStyle w:val="7"/>
              <w:jc w:val="both"/>
              <w:rPr>
                <w:rFonts w:hint="eastAsia" w:ascii="宋体" w:hAnsi="宋体" w:eastAsia="宋体" w:cs="宋体"/>
                <w:color w:val="auto"/>
                <w:sz w:val="24"/>
                <w:szCs w:val="24"/>
                <w:highlight w:val="none"/>
                <w:lang w:val="en-US" w:eastAsia="zh-Hans"/>
              </w:rPr>
            </w:pPr>
            <w:r>
              <w:rPr>
                <w:rFonts w:hint="eastAsia" w:ascii="宋体" w:hAnsi="宋体"/>
                <w:color w:val="auto"/>
                <w:sz w:val="24"/>
                <w:szCs w:val="24"/>
                <w:highlight w:val="none"/>
                <w:lang w:eastAsia="zh-CN"/>
              </w:rPr>
              <w:t>注：投标人</w:t>
            </w:r>
            <w:r>
              <w:rPr>
                <w:rFonts w:ascii="宋体" w:hAnsi="宋体"/>
                <w:color w:val="auto"/>
                <w:sz w:val="24"/>
                <w:szCs w:val="24"/>
                <w:highlight w:val="none"/>
              </w:rPr>
              <w:t>须</w:t>
            </w:r>
            <w:r>
              <w:rPr>
                <w:rFonts w:hint="eastAsia" w:ascii="宋体" w:hAnsi="宋体"/>
                <w:color w:val="auto"/>
                <w:sz w:val="24"/>
                <w:szCs w:val="24"/>
                <w:highlight w:val="none"/>
                <w:lang w:eastAsia="zh-CN"/>
              </w:rPr>
              <w:t>同时</w:t>
            </w:r>
            <w:r>
              <w:rPr>
                <w:rFonts w:ascii="宋体" w:hAnsi="宋体"/>
                <w:color w:val="auto"/>
                <w:sz w:val="24"/>
                <w:szCs w:val="24"/>
                <w:highlight w:val="none"/>
              </w:rPr>
              <w:t>提供</w:t>
            </w:r>
            <w:r>
              <w:rPr>
                <w:rFonts w:hint="eastAsia" w:ascii="宋体" w:hAnsi="宋体"/>
                <w:color w:val="auto"/>
                <w:sz w:val="24"/>
                <w:szCs w:val="24"/>
                <w:highlight w:val="none"/>
                <w:lang w:eastAsia="zh-CN"/>
              </w:rPr>
              <w:t>①项目负责人有效的证书</w:t>
            </w:r>
            <w:r>
              <w:rPr>
                <w:rFonts w:ascii="宋体" w:hAnsi="宋体"/>
                <w:color w:val="auto"/>
                <w:sz w:val="24"/>
                <w:szCs w:val="24"/>
                <w:highlight w:val="none"/>
              </w:rPr>
              <w:t>复印件</w:t>
            </w:r>
            <w:r>
              <w:rPr>
                <w:rFonts w:hint="eastAsia" w:ascii="宋体" w:hAnsi="宋体"/>
                <w:color w:val="auto"/>
                <w:sz w:val="24"/>
                <w:szCs w:val="24"/>
                <w:highlight w:val="none"/>
                <w:lang w:eastAsia="zh-CN"/>
              </w:rPr>
              <w:t>；②在本项目投标截止时间前三个月(不含投标截止时间的当月)中任一月份投标人为其缴纳的社会保险凭据。未提供或提供不全的本项不得分。【本项与其他项同一人员不得重复得分】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37" w:type="dxa"/>
            <w:vAlign w:val="center"/>
          </w:tcPr>
          <w:p>
            <w:pPr>
              <w:pStyle w:val="7"/>
              <w:jc w:val="center"/>
              <w:rPr>
                <w:rFonts w:hint="default"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4、技术负责人</w:t>
            </w:r>
          </w:p>
        </w:tc>
        <w:tc>
          <w:tcPr>
            <w:tcW w:w="925" w:type="dxa"/>
            <w:vAlign w:val="center"/>
          </w:tcPr>
          <w:p>
            <w:pPr>
              <w:pStyle w:val="7"/>
              <w:jc w:val="center"/>
              <w:rPr>
                <w:rFonts w:hint="default"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3.00</w:t>
            </w:r>
          </w:p>
        </w:tc>
        <w:tc>
          <w:tcPr>
            <w:tcW w:w="1052" w:type="dxa"/>
            <w:vAlign w:val="center"/>
          </w:tcPr>
          <w:p>
            <w:pPr>
              <w:pStyle w:val="7"/>
              <w:jc w:val="center"/>
              <w:rPr>
                <w:rFonts w:hint="eastAsia" w:asciiTheme="minorEastAsia" w:hAnsiTheme="minorEastAsia" w:cstheme="minorEastAsia"/>
                <w:color w:val="auto"/>
                <w:sz w:val="24"/>
                <w:szCs w:val="24"/>
                <w:highlight w:val="none"/>
                <w:lang w:eastAsia="zh-CN"/>
              </w:rPr>
            </w:pPr>
            <w:r>
              <w:rPr>
                <w:rFonts w:hint="eastAsia" w:asciiTheme="minorEastAsia" w:hAnsiTheme="minorEastAsia" w:cstheme="minorEastAsia"/>
                <w:color w:val="auto"/>
                <w:sz w:val="24"/>
                <w:szCs w:val="24"/>
                <w:highlight w:val="none"/>
                <w:lang w:eastAsia="zh-CN"/>
              </w:rPr>
              <w:t>是</w:t>
            </w:r>
          </w:p>
        </w:tc>
        <w:tc>
          <w:tcPr>
            <w:tcW w:w="6101" w:type="dxa"/>
            <w:vAlign w:val="center"/>
          </w:tcPr>
          <w:p>
            <w:pPr>
              <w:pStyle w:val="7"/>
              <w:jc w:val="both"/>
              <w:rPr>
                <w:rFonts w:ascii="宋体" w:hAnsi="宋体"/>
                <w:color w:val="auto"/>
                <w:sz w:val="24"/>
                <w:szCs w:val="24"/>
                <w:highlight w:val="none"/>
              </w:rPr>
            </w:pPr>
            <w:r>
              <w:rPr>
                <w:rFonts w:ascii="宋体" w:hAnsi="宋体"/>
                <w:color w:val="auto"/>
                <w:sz w:val="24"/>
                <w:szCs w:val="24"/>
                <w:highlight w:val="none"/>
              </w:rPr>
              <w:t>投标人拟</w:t>
            </w:r>
            <w:r>
              <w:rPr>
                <w:rFonts w:hint="eastAsia" w:ascii="宋体" w:hAnsi="宋体"/>
                <w:color w:val="auto"/>
                <w:sz w:val="24"/>
                <w:szCs w:val="24"/>
                <w:highlight w:val="none"/>
                <w:lang w:eastAsia="zh-CN"/>
              </w:rPr>
              <w:t>投入本项目</w:t>
            </w:r>
            <w:r>
              <w:rPr>
                <w:rFonts w:ascii="宋体" w:hAnsi="宋体"/>
                <w:color w:val="auto"/>
                <w:sz w:val="24"/>
                <w:szCs w:val="24"/>
                <w:highlight w:val="none"/>
              </w:rPr>
              <w:t>的</w:t>
            </w:r>
            <w:r>
              <w:rPr>
                <w:rFonts w:hint="eastAsia" w:ascii="宋体" w:hAnsi="宋体"/>
                <w:color w:val="auto"/>
                <w:sz w:val="24"/>
                <w:szCs w:val="24"/>
                <w:highlight w:val="none"/>
                <w:lang w:eastAsia="zh-CN"/>
              </w:rPr>
              <w:t>技术</w:t>
            </w:r>
            <w:r>
              <w:rPr>
                <w:rFonts w:ascii="宋体" w:hAnsi="宋体"/>
                <w:color w:val="auto"/>
                <w:sz w:val="24"/>
                <w:szCs w:val="24"/>
                <w:highlight w:val="none"/>
              </w:rPr>
              <w:t>负责人具有</w:t>
            </w:r>
            <w:r>
              <w:rPr>
                <w:rFonts w:hint="eastAsia" w:ascii="宋体" w:hAnsi="宋体"/>
                <w:color w:val="auto"/>
                <w:sz w:val="24"/>
                <w:szCs w:val="24"/>
                <w:highlight w:val="none"/>
                <w:lang w:val="en-US" w:eastAsia="zh-CN"/>
              </w:rPr>
              <w:t>人社部门颁发的高级工程师</w:t>
            </w:r>
            <w:r>
              <w:rPr>
                <w:rFonts w:ascii="宋体" w:hAnsi="宋体"/>
                <w:color w:val="auto"/>
                <w:sz w:val="24"/>
                <w:szCs w:val="24"/>
                <w:highlight w:val="none"/>
                <w:lang w:eastAsia="zh-CN"/>
              </w:rPr>
              <w:t>（通信或</w:t>
            </w:r>
            <w:r>
              <w:rPr>
                <w:rFonts w:hint="eastAsia" w:ascii="宋体" w:hAnsi="宋体"/>
                <w:color w:val="auto"/>
                <w:sz w:val="24"/>
                <w:szCs w:val="24"/>
                <w:highlight w:val="none"/>
                <w:lang w:val="en-US" w:eastAsia="zh-CN"/>
              </w:rPr>
              <w:t>电子</w:t>
            </w:r>
            <w:r>
              <w:rPr>
                <w:rFonts w:ascii="宋体" w:hAnsi="宋体"/>
                <w:color w:val="auto"/>
                <w:sz w:val="24"/>
                <w:szCs w:val="24"/>
                <w:highlight w:val="none"/>
                <w:lang w:eastAsia="zh-CN"/>
              </w:rPr>
              <w:t>专业）</w:t>
            </w:r>
            <w:r>
              <w:rPr>
                <w:rFonts w:ascii="宋体" w:hAnsi="宋体"/>
                <w:color w:val="auto"/>
                <w:sz w:val="24"/>
                <w:szCs w:val="24"/>
                <w:highlight w:val="none"/>
              </w:rPr>
              <w:t>证书</w:t>
            </w:r>
            <w:r>
              <w:rPr>
                <w:rFonts w:ascii="宋体" w:hAnsi="宋体"/>
                <w:color w:val="auto"/>
                <w:sz w:val="24"/>
                <w:szCs w:val="24"/>
                <w:highlight w:val="none"/>
                <w:lang w:eastAsia="zh-CN"/>
              </w:rPr>
              <w:t>的得</w:t>
            </w:r>
            <w:r>
              <w:rPr>
                <w:rFonts w:hint="eastAsia" w:ascii="宋体" w:hAnsi="宋体"/>
                <w:color w:val="auto"/>
                <w:sz w:val="24"/>
                <w:szCs w:val="24"/>
                <w:highlight w:val="none"/>
                <w:lang w:val="en-US" w:eastAsia="zh-CN"/>
              </w:rPr>
              <w:t>1.5</w:t>
            </w:r>
            <w:r>
              <w:rPr>
                <w:rFonts w:ascii="宋体" w:hAnsi="宋体"/>
                <w:color w:val="auto"/>
                <w:sz w:val="24"/>
                <w:szCs w:val="24"/>
                <w:highlight w:val="none"/>
                <w:lang w:eastAsia="zh-CN"/>
              </w:rPr>
              <w:t>分</w:t>
            </w:r>
            <w:r>
              <w:rPr>
                <w:rFonts w:hint="eastAsia" w:ascii="宋体" w:hAnsi="宋体"/>
                <w:color w:val="auto"/>
                <w:sz w:val="24"/>
                <w:szCs w:val="24"/>
                <w:highlight w:val="none"/>
                <w:lang w:val="en-US" w:eastAsia="zh-CN"/>
              </w:rPr>
              <w:t>；具有网络通信类相关证书（包括但不限于网络工程师、网络规划设计师或其他通信专业职业资格证书）的得1.5分</w:t>
            </w:r>
            <w:r>
              <w:rPr>
                <w:rFonts w:ascii="宋体" w:hAnsi="宋体"/>
                <w:color w:val="auto"/>
                <w:sz w:val="24"/>
                <w:szCs w:val="24"/>
                <w:highlight w:val="none"/>
              </w:rPr>
              <w:t>。满分3分。</w:t>
            </w:r>
          </w:p>
          <w:p>
            <w:pPr>
              <w:pStyle w:val="7"/>
              <w:jc w:val="both"/>
              <w:rPr>
                <w:rFonts w:hint="eastAsia" w:ascii="宋体" w:hAnsi="宋体" w:eastAsia="宋体" w:cs="宋体"/>
                <w:color w:val="auto"/>
                <w:sz w:val="24"/>
                <w:szCs w:val="24"/>
                <w:highlight w:val="none"/>
                <w:lang w:val="en-US" w:eastAsia="zh-Hans"/>
              </w:rPr>
            </w:pPr>
            <w:r>
              <w:rPr>
                <w:rFonts w:hint="eastAsia" w:ascii="宋体" w:hAnsi="宋体"/>
                <w:color w:val="auto"/>
                <w:sz w:val="24"/>
                <w:szCs w:val="24"/>
                <w:highlight w:val="none"/>
                <w:lang w:eastAsia="zh-CN"/>
              </w:rPr>
              <w:t>注：投标人</w:t>
            </w:r>
            <w:r>
              <w:rPr>
                <w:rFonts w:ascii="宋体" w:hAnsi="宋体"/>
                <w:color w:val="auto"/>
                <w:sz w:val="24"/>
                <w:szCs w:val="24"/>
                <w:highlight w:val="none"/>
              </w:rPr>
              <w:t>须</w:t>
            </w:r>
            <w:r>
              <w:rPr>
                <w:rFonts w:hint="eastAsia" w:ascii="宋体" w:hAnsi="宋体"/>
                <w:color w:val="auto"/>
                <w:sz w:val="24"/>
                <w:szCs w:val="24"/>
                <w:highlight w:val="none"/>
                <w:lang w:eastAsia="zh-CN"/>
              </w:rPr>
              <w:t>同时</w:t>
            </w:r>
            <w:r>
              <w:rPr>
                <w:rFonts w:ascii="宋体" w:hAnsi="宋体"/>
                <w:color w:val="auto"/>
                <w:sz w:val="24"/>
                <w:szCs w:val="24"/>
                <w:highlight w:val="none"/>
              </w:rPr>
              <w:t>提供</w:t>
            </w:r>
            <w:r>
              <w:rPr>
                <w:rFonts w:hint="eastAsia" w:ascii="宋体" w:hAnsi="宋体"/>
                <w:color w:val="auto"/>
                <w:sz w:val="24"/>
                <w:szCs w:val="24"/>
                <w:highlight w:val="none"/>
                <w:lang w:eastAsia="zh-CN"/>
              </w:rPr>
              <w:t>①技术负责人有效的证书</w:t>
            </w:r>
            <w:r>
              <w:rPr>
                <w:rFonts w:ascii="宋体" w:hAnsi="宋体"/>
                <w:color w:val="auto"/>
                <w:sz w:val="24"/>
                <w:szCs w:val="24"/>
                <w:highlight w:val="none"/>
              </w:rPr>
              <w:t>复印件</w:t>
            </w:r>
            <w:r>
              <w:rPr>
                <w:rFonts w:hint="eastAsia" w:ascii="宋体" w:hAnsi="宋体"/>
                <w:color w:val="auto"/>
                <w:sz w:val="24"/>
                <w:szCs w:val="24"/>
                <w:highlight w:val="none"/>
                <w:lang w:eastAsia="zh-CN"/>
              </w:rPr>
              <w:t>；②</w:t>
            </w:r>
            <w:r>
              <w:rPr>
                <w:rFonts w:hint="eastAsia" w:ascii="宋体" w:hAnsi="宋体"/>
                <w:color w:val="auto"/>
                <w:sz w:val="24"/>
                <w:szCs w:val="24"/>
                <w:highlight w:val="none"/>
              </w:rPr>
              <w:t>在本项目投标截止时间前</w:t>
            </w:r>
            <w:r>
              <w:rPr>
                <w:rFonts w:hint="eastAsia" w:ascii="宋体" w:hAnsi="宋体"/>
                <w:color w:val="auto"/>
                <w:sz w:val="24"/>
                <w:szCs w:val="24"/>
                <w:highlight w:val="none"/>
                <w:lang w:eastAsia="zh-CN"/>
              </w:rPr>
              <w:t>三</w:t>
            </w:r>
            <w:r>
              <w:rPr>
                <w:rFonts w:hint="eastAsia" w:ascii="宋体" w:hAnsi="宋体"/>
                <w:color w:val="auto"/>
                <w:sz w:val="24"/>
                <w:szCs w:val="24"/>
                <w:highlight w:val="none"/>
              </w:rPr>
              <w:t>个月(不含投标截止时间的当月)中任一月份投标人为其缴纳的社会保险凭据。未提供或提供不全的本项不得分</w:t>
            </w:r>
            <w:r>
              <w:rPr>
                <w:rFonts w:ascii="宋体" w:hAnsi="宋体"/>
                <w:color w:val="auto"/>
                <w:sz w:val="24"/>
                <w:szCs w:val="24"/>
                <w:highlight w:val="none"/>
              </w:rPr>
              <w:t>。</w:t>
            </w:r>
            <w:r>
              <w:rPr>
                <w:rFonts w:hint="eastAsia" w:ascii="宋体" w:hAnsi="宋体"/>
                <w:color w:val="auto"/>
                <w:sz w:val="24"/>
                <w:szCs w:val="24"/>
                <w:highlight w:val="none"/>
                <w:lang w:eastAsia="zh-CN"/>
              </w:rPr>
              <w:t>【本项</w:t>
            </w:r>
            <w:r>
              <w:rPr>
                <w:rFonts w:ascii="宋体" w:hAnsi="宋体"/>
                <w:color w:val="auto"/>
                <w:sz w:val="24"/>
                <w:szCs w:val="24"/>
                <w:highlight w:val="none"/>
              </w:rPr>
              <w:t>与其他项</w:t>
            </w:r>
            <w:r>
              <w:rPr>
                <w:rFonts w:hint="eastAsia" w:ascii="宋体" w:hAnsi="宋体"/>
                <w:color w:val="auto"/>
                <w:sz w:val="24"/>
                <w:szCs w:val="24"/>
                <w:highlight w:val="none"/>
                <w:lang w:eastAsia="zh-CN"/>
              </w:rPr>
              <w:t>同一</w:t>
            </w:r>
            <w:r>
              <w:rPr>
                <w:rFonts w:ascii="宋体" w:hAnsi="宋体"/>
                <w:color w:val="auto"/>
                <w:sz w:val="24"/>
                <w:szCs w:val="24"/>
                <w:highlight w:val="none"/>
              </w:rPr>
              <w:t>人员不得重复得分</w:t>
            </w:r>
            <w:r>
              <w:rPr>
                <w:rFonts w:hint="eastAsia" w:ascii="宋体" w:hAnsi="宋体"/>
                <w:color w:val="auto"/>
                <w:sz w:val="24"/>
                <w:szCs w:val="24"/>
                <w:highlight w:val="none"/>
                <w:lang w:eastAsia="zh-CN"/>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37" w:type="dxa"/>
            <w:vAlign w:val="center"/>
          </w:tcPr>
          <w:p>
            <w:pPr>
              <w:pStyle w:val="7"/>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5、</w:t>
            </w:r>
            <w:r>
              <w:rPr>
                <w:rFonts w:hint="eastAsia" w:ascii="宋体" w:hAnsi="宋体" w:eastAsia="宋体" w:cs="宋体"/>
                <w:color w:val="auto"/>
                <w:sz w:val="24"/>
                <w:szCs w:val="24"/>
                <w:highlight w:val="none"/>
                <w:lang w:val="en-US" w:eastAsia="zh-Hans"/>
              </w:rPr>
              <w:t>售后服务方案</w:t>
            </w:r>
          </w:p>
        </w:tc>
        <w:tc>
          <w:tcPr>
            <w:tcW w:w="925" w:type="dxa"/>
            <w:vAlign w:val="center"/>
          </w:tcPr>
          <w:p>
            <w:pPr>
              <w:pStyle w:val="7"/>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3.00</w:t>
            </w:r>
          </w:p>
        </w:tc>
        <w:tc>
          <w:tcPr>
            <w:tcW w:w="1052" w:type="dxa"/>
            <w:vAlign w:val="center"/>
          </w:tcPr>
          <w:p>
            <w:pPr>
              <w:pStyle w:val="7"/>
              <w:jc w:val="center"/>
              <w:rPr>
                <w:rFonts w:hint="eastAsia" w:asciiTheme="minorEastAsia" w:hAnsiTheme="minorEastAsia" w:eastAsiaTheme="minorEastAsia" w:cstheme="minorEastAsia"/>
                <w:color w:val="auto"/>
                <w:sz w:val="24"/>
                <w:szCs w:val="24"/>
                <w:highlight w:val="none"/>
                <w:lang w:eastAsia="zh-CN"/>
              </w:rPr>
            </w:pPr>
            <w:bookmarkStart w:id="1" w:name="OLE_LINK3"/>
            <w:r>
              <w:rPr>
                <w:rFonts w:hint="eastAsia" w:asciiTheme="minorEastAsia" w:hAnsiTheme="minorEastAsia" w:cstheme="minorEastAsia"/>
                <w:color w:val="auto"/>
                <w:sz w:val="24"/>
                <w:szCs w:val="24"/>
                <w:highlight w:val="none"/>
                <w:lang w:eastAsia="zh-CN"/>
              </w:rPr>
              <w:t>否</w:t>
            </w:r>
            <w:bookmarkEnd w:id="1"/>
          </w:p>
        </w:tc>
        <w:tc>
          <w:tcPr>
            <w:tcW w:w="6101" w:type="dxa"/>
            <w:vAlign w:val="center"/>
          </w:tcPr>
          <w:p>
            <w:pPr>
              <w:pStyle w:val="7"/>
              <w:jc w:val="both"/>
              <w:rPr>
                <w:rFonts w:hint="eastAsia" w:asciiTheme="minorEastAsia" w:hAnsiTheme="minorEastAsia" w:eastAsiaTheme="minorEastAsia" w:cstheme="minorEastAsia"/>
                <w:color w:val="auto"/>
                <w:sz w:val="24"/>
                <w:szCs w:val="24"/>
                <w:highlight w:val="none"/>
              </w:rPr>
            </w:pPr>
            <w:r>
              <w:rPr>
                <w:rFonts w:hint="eastAsia" w:ascii="宋体" w:hAnsi="宋体" w:eastAsia="宋体" w:cs="宋体"/>
                <w:color w:val="auto"/>
                <w:sz w:val="24"/>
                <w:szCs w:val="24"/>
                <w:highlight w:val="none"/>
                <w:lang w:val="en-US" w:eastAsia="zh-Hans"/>
              </w:rPr>
              <w:t>根据</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lang w:val="en-US" w:eastAsia="zh-Hans"/>
              </w:rPr>
              <w:t>针对本项目</w:t>
            </w:r>
            <w:r>
              <w:rPr>
                <w:rFonts w:hint="eastAsia" w:ascii="宋体" w:hAnsi="宋体" w:eastAsia="宋体" w:cs="宋体"/>
                <w:color w:val="auto"/>
                <w:sz w:val="24"/>
                <w:szCs w:val="24"/>
                <w:highlight w:val="none"/>
                <w:lang w:val="en-US" w:eastAsia="zh-CN"/>
              </w:rPr>
              <w:t>所</w:t>
            </w:r>
            <w:r>
              <w:rPr>
                <w:rFonts w:hint="eastAsia" w:ascii="宋体" w:hAnsi="宋体" w:eastAsia="宋体" w:cs="宋体"/>
                <w:color w:val="auto"/>
                <w:sz w:val="24"/>
                <w:szCs w:val="24"/>
                <w:highlight w:val="none"/>
                <w:lang w:val="en-US" w:eastAsia="zh-Hans"/>
              </w:rPr>
              <w:t>提供的售后服务方案(</w:t>
            </w:r>
            <w:r>
              <w:rPr>
                <w:rFonts w:hint="eastAsia" w:ascii="宋体" w:hAnsi="宋体" w:eastAsia="宋体" w:cs="宋体"/>
                <w:color w:val="auto"/>
                <w:sz w:val="24"/>
                <w:szCs w:val="24"/>
                <w:highlight w:val="none"/>
                <w:lang w:val="en-US" w:eastAsia="zh-CN"/>
              </w:rPr>
              <w:t>包括但不限于①</w:t>
            </w:r>
            <w:r>
              <w:rPr>
                <w:rFonts w:hint="eastAsia" w:ascii="宋体" w:hAnsi="宋体" w:eastAsia="宋体" w:cs="宋体"/>
                <w:color w:val="auto"/>
                <w:sz w:val="24"/>
                <w:szCs w:val="24"/>
                <w:highlight w:val="none"/>
                <w:lang w:val="en-US" w:eastAsia="zh-Hans"/>
              </w:rPr>
              <w:t>保障服务承诺、</w:t>
            </w:r>
            <w:r>
              <w:rPr>
                <w:rFonts w:hint="eastAsia" w:ascii="宋体" w:hAnsi="宋体" w:eastAsia="宋体" w:cs="宋体"/>
                <w:color w:val="auto"/>
                <w:sz w:val="24"/>
                <w:szCs w:val="24"/>
                <w:highlight w:val="none"/>
                <w:lang w:val="en-US" w:eastAsia="zh-CN"/>
              </w:rPr>
              <w:t>②</w:t>
            </w:r>
            <w:r>
              <w:rPr>
                <w:rFonts w:hint="eastAsia" w:ascii="宋体" w:hAnsi="宋体" w:eastAsia="宋体" w:cs="宋体"/>
                <w:color w:val="auto"/>
                <w:sz w:val="24"/>
                <w:szCs w:val="24"/>
                <w:highlight w:val="none"/>
                <w:lang w:val="en-US" w:eastAsia="zh-Hans"/>
              </w:rPr>
              <w:t>服务组织、</w:t>
            </w:r>
            <w:r>
              <w:rPr>
                <w:rFonts w:hint="eastAsia" w:ascii="宋体" w:hAnsi="宋体" w:eastAsia="宋体" w:cs="宋体"/>
                <w:color w:val="auto"/>
                <w:sz w:val="24"/>
                <w:szCs w:val="24"/>
                <w:highlight w:val="none"/>
                <w:lang w:val="en-US" w:eastAsia="zh-CN"/>
              </w:rPr>
              <w:t>③</w:t>
            </w:r>
            <w:r>
              <w:rPr>
                <w:rFonts w:hint="eastAsia" w:ascii="宋体" w:hAnsi="宋体" w:eastAsia="宋体" w:cs="宋体"/>
                <w:color w:val="auto"/>
                <w:sz w:val="24"/>
                <w:szCs w:val="24"/>
                <w:highlight w:val="none"/>
                <w:lang w:val="en-US" w:eastAsia="zh-Hans"/>
              </w:rPr>
              <w:t>服务内容、</w:t>
            </w:r>
            <w:r>
              <w:rPr>
                <w:rFonts w:hint="eastAsia" w:ascii="宋体" w:hAnsi="宋体" w:eastAsia="宋体" w:cs="宋体"/>
                <w:color w:val="auto"/>
                <w:sz w:val="24"/>
                <w:szCs w:val="24"/>
                <w:highlight w:val="none"/>
                <w:lang w:val="en-US" w:eastAsia="zh-CN"/>
              </w:rPr>
              <w:t>④</w:t>
            </w:r>
            <w:r>
              <w:rPr>
                <w:rFonts w:hint="eastAsia" w:ascii="宋体" w:hAnsi="宋体" w:eastAsia="宋体" w:cs="宋体"/>
                <w:color w:val="auto"/>
                <w:sz w:val="24"/>
                <w:szCs w:val="24"/>
                <w:highlight w:val="none"/>
                <w:lang w:val="en-US" w:eastAsia="zh-Hans"/>
              </w:rPr>
              <w:t>需求处理</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auto"/>
                <w:sz w:val="24"/>
                <w:szCs w:val="24"/>
                <w:highlight w:val="none"/>
                <w:lang w:val="en-US" w:eastAsia="zh-Hans"/>
              </w:rPr>
              <w:t>）</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由评标委员会进行评分：方案包含的要点齐全无缺漏项、内容与要点相符、每个要点均有展开详细的阐述且能够适用于本项目得3分；方案所包含的要点齐全、内容与要点相符、每个要点均有展开阐述但部分能够适用于本项目的得2.</w:t>
            </w:r>
            <w:r>
              <w:rPr>
                <w:rFonts w:hint="eastAsia" w:ascii="宋体" w:hAnsi="宋体" w:eastAsia="宋体" w:cs="宋体"/>
                <w:color w:val="auto"/>
                <w:sz w:val="24"/>
                <w:szCs w:val="24"/>
                <w:highlight w:val="none"/>
                <w:lang w:val="en-US" w:eastAsia="zh-CN"/>
              </w:rPr>
              <w:t>75</w:t>
            </w:r>
            <w:r>
              <w:rPr>
                <w:rFonts w:hint="eastAsia" w:ascii="宋体" w:hAnsi="宋体" w:eastAsia="宋体" w:cs="宋体"/>
                <w:color w:val="auto"/>
                <w:sz w:val="24"/>
                <w:szCs w:val="24"/>
                <w:highlight w:val="none"/>
              </w:rPr>
              <w:t>分；方案所包含的要点有缺漏、内容与要点相符但仅有纲要、内容简略，未展开详细阐述</w:t>
            </w:r>
            <w:r>
              <w:rPr>
                <w:rFonts w:hint="eastAsia" w:ascii="宋体" w:hAnsi="宋体" w:eastAsia="宋体" w:cs="宋体"/>
                <w:color w:val="auto"/>
                <w:sz w:val="24"/>
                <w:szCs w:val="24"/>
                <w:highlight w:val="none"/>
                <w:lang w:eastAsia="zh-CN"/>
              </w:rPr>
              <w:t>但</w:t>
            </w:r>
            <w:r>
              <w:rPr>
                <w:rFonts w:hint="eastAsia" w:ascii="宋体" w:hAnsi="宋体" w:eastAsia="宋体" w:cs="宋体"/>
                <w:color w:val="auto"/>
                <w:sz w:val="24"/>
                <w:szCs w:val="24"/>
                <w:highlight w:val="none"/>
              </w:rPr>
              <w:t>小部分能够适用于本项目的得2.</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分；未提供或内容存在明显错误、内容</w:t>
            </w:r>
            <w:r>
              <w:rPr>
                <w:rFonts w:hint="eastAsia" w:ascii="宋体" w:hAnsi="宋体" w:eastAsia="宋体" w:cs="宋体"/>
                <w:color w:val="auto"/>
                <w:sz w:val="24"/>
                <w:szCs w:val="24"/>
                <w:highlight w:val="none"/>
                <w:lang w:eastAsia="zh-CN"/>
              </w:rPr>
              <w:t>明显</w:t>
            </w:r>
            <w:r>
              <w:rPr>
                <w:rFonts w:hint="eastAsia" w:ascii="宋体" w:hAnsi="宋体" w:eastAsia="宋体" w:cs="宋体"/>
                <w:color w:val="auto"/>
                <w:sz w:val="24"/>
                <w:szCs w:val="24"/>
                <w:highlight w:val="none"/>
              </w:rPr>
              <w:t>不适用于本项目需求的均不得分。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37" w:type="dxa"/>
            <w:vAlign w:val="center"/>
          </w:tcPr>
          <w:p>
            <w:pPr>
              <w:pStyle w:val="7"/>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响应时间</w:t>
            </w:r>
          </w:p>
        </w:tc>
        <w:tc>
          <w:tcPr>
            <w:tcW w:w="925" w:type="dxa"/>
            <w:vAlign w:val="center"/>
          </w:tcPr>
          <w:p>
            <w:pPr>
              <w:pStyle w:val="7"/>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2.00</w:t>
            </w:r>
          </w:p>
        </w:tc>
        <w:tc>
          <w:tcPr>
            <w:tcW w:w="1052" w:type="dxa"/>
            <w:vAlign w:val="center"/>
          </w:tcPr>
          <w:p>
            <w:pPr>
              <w:pStyle w:val="7"/>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cstheme="minorEastAsia"/>
                <w:color w:val="auto"/>
                <w:sz w:val="24"/>
                <w:szCs w:val="24"/>
                <w:highlight w:val="none"/>
                <w:lang w:eastAsia="zh-CN"/>
              </w:rPr>
              <w:t>是</w:t>
            </w:r>
          </w:p>
        </w:tc>
        <w:tc>
          <w:tcPr>
            <w:tcW w:w="6101" w:type="dxa"/>
          </w:tcPr>
          <w:p>
            <w:pPr>
              <w:pStyle w:val="7"/>
              <w:jc w:val="both"/>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 xml:space="preserve">根据投标人承诺针对本项目各环节工作进度、时间节点等事项与采购人及时沟通协调、反馈，必要时能抵达现场的服务时效响应时间情况，由评标委员会进行评分：投标人承诺4小时内到达现场的得2分，6小时内到达现场的得1分，其余情况不得分。 </w:t>
            </w:r>
          </w:p>
          <w:p>
            <w:pPr>
              <w:pStyle w:val="7"/>
              <w:jc w:val="both"/>
              <w:rPr>
                <w:rFonts w:hint="eastAsia" w:asciiTheme="minorEastAsia" w:hAnsiTheme="minorEastAsia" w:eastAsiaTheme="minorEastAsia" w:cstheme="minorEastAsia"/>
                <w:color w:val="auto"/>
                <w:sz w:val="24"/>
                <w:szCs w:val="24"/>
                <w:highlight w:val="none"/>
              </w:rPr>
            </w:pPr>
            <w:r>
              <w:rPr>
                <w:rFonts w:hint="eastAsia" w:ascii="宋体" w:hAnsi="宋体" w:eastAsia="宋体" w:cs="宋体"/>
                <w:b w:val="0"/>
                <w:bCs w:val="0"/>
                <w:color w:val="auto"/>
                <w:sz w:val="24"/>
                <w:szCs w:val="24"/>
                <w:highlight w:val="none"/>
                <w:lang w:eastAsia="zh-CN"/>
              </w:rPr>
              <w:t>注：投标人须提供相关承诺函（承诺函格式自拟），未提供承诺函或承诺内容不符的本项不得分。</w:t>
            </w:r>
          </w:p>
        </w:tc>
      </w:tr>
    </w:tbl>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异常低价审查</w:t>
      </w:r>
    </w:p>
    <w:tbl>
      <w:tblPr>
        <w:tblStyle w:val="5"/>
        <w:tblW w:w="962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703"/>
        <w:gridCol w:w="792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03"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7925"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03"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异常低价审查</w:t>
            </w:r>
          </w:p>
        </w:tc>
        <w:tc>
          <w:tcPr>
            <w:tcW w:w="7925" w:type="dxa"/>
          </w:tcPr>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根据《关于推动解决政府采购异常低价问题的通知》（财库〔2026〕2号）等相关规定，政府采购评审中出现下列情形之一的，评审委员会应当启动异常低价投标（响应）审查程序： （1）应急科普户外媒体播出服务响应报价低于全部通过符合性审查供应商响应报价平均值50%的，即应急科普户外媒体播出服务响应报价&lt;全部通过符合性审查供应商响应报价平均值×50%。 （2）应急科普户外媒体播出服务响应报价低于通过符合性审查且报价次低供应商响应报价50%的，即应急科普户外媒体播出服务响应报价&lt;通过符合性审查且报价次低供应商响应报价×50%。 （3）应急科普户外媒体播出服务响应报价低于最高限价45%的，即应急科普户外媒体播出服务响应报价&lt;最高限价×45%。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异常低价投标（响应）审查的启动原因、审查意见和审查结果应当在评审报告中记录，并随供应商提供的相关书面说明及证明材料，以及评审委员会有关互联网浏览、查询历史一并归档。</w:t>
      </w:r>
    </w:p>
    <w:p>
      <w:pPr>
        <w:pStyle w:val="7"/>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※除本章第6.3条第（3）款规定情形和落实政府采购政策需进行的价格扣除情形外，不能对投标人的投标报价进行任何调整。</w:t>
      </w:r>
    </w:p>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（3）中标候选人排列规则顺序如下：</w:t>
      </w:r>
    </w:p>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a.按照评标总得分（FA）由高到低顺序排列。</w:t>
      </w:r>
    </w:p>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b.评标总得分（FA）相同的，按照评标价（即价格扣除后的投标报价）由低到高顺序排列。</w:t>
      </w:r>
    </w:p>
    <w:p>
      <w:pPr>
        <w:pStyle w:val="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c.评标总得分（FA）且评标价（即价格扣除后的投标报价）相同的并列。</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8、其他规定</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8.1评标应全程保密且不得透露给任一投标人或与评标工作无关的人员。</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8.2评标将进行全程实时录音录像，录音录像资料随采购文件一并存档。</w:t>
      </w:r>
    </w:p>
    <w:p>
      <w:pPr>
        <w:pStyle w:val="7"/>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8.3若投标人有任何试图干扰具体评标事务，影响评标委员会独立履行职责的行为，其投标无效且不予退还投标保证金或通过投标保函进行索赔。情节严重的，由财政部门列入不良行为记录。</w:t>
      </w:r>
    </w:p>
    <w:p>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8.4其他：无</w:t>
      </w:r>
      <w:r>
        <w:rPr>
          <w:rFonts w:hint="eastAsia" w:asciiTheme="minorEastAsia" w:hAnsiTheme="minorEastAsia" w:eastAsiaTheme="minorEastAsia" w:cstheme="minorEastAsia"/>
        </w:rPr>
        <w:t xml:space="preserve"> </w:t>
      </w:r>
    </w:p>
    <w:p>
      <w:pPr>
        <w:rPr>
          <w:rFonts w:hint="eastAsia" w:asciiTheme="minorEastAsia" w:hAnsiTheme="minorEastAsia" w:eastAsiaTheme="minorEastAsia" w:cstheme="minorEastAsia"/>
          <w:b/>
          <w:sz w:val="36"/>
        </w:rPr>
      </w:pPr>
      <w:r>
        <w:rPr>
          <w:rFonts w:hint="eastAsia" w:asciiTheme="minorEastAsia" w:hAnsiTheme="minorEastAsia" w:eastAsiaTheme="minorEastAsia" w:cstheme="minorEastAsia"/>
          <w:b/>
          <w:sz w:val="36"/>
        </w:rPr>
        <w:br w:type="page"/>
      </w:r>
    </w:p>
    <w:p>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第五章 招标内容及要求</w:t>
      </w:r>
    </w:p>
    <w:p>
      <w:pPr>
        <w:pStyle w:val="7"/>
        <w:jc w:val="both"/>
        <w:outlineLvl w:val="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28"/>
          <w:szCs w:val="28"/>
        </w:rPr>
        <w:t>一、项目概况（采购标的）</w:t>
      </w:r>
    </w:p>
    <w:p>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1、本项目为应急科普户外媒体播出服务。</w:t>
      </w:r>
    </w:p>
    <w:p>
      <w:pPr>
        <w:pStyle w:val="7"/>
        <w:spacing w:line="360" w:lineRule="auto"/>
        <w:ind w:firstLine="48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2、投标人的报价应包含本次服务所涉及的所有有关项目费用，包括但不限于人员工资、技术服务费、培训费、招标代理服务费等以及所有根据合同或其它原因应由投标人支付的税金和其它应缴的费用，以及可合理推断的责任和义务。</w:t>
      </w:r>
    </w:p>
    <w:p>
      <w:pPr>
        <w:pStyle w:val="7"/>
        <w:jc w:val="both"/>
        <w:outlineLvl w:val="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28"/>
          <w:szCs w:val="28"/>
        </w:rPr>
        <w:t>二、技术和服务要求（以“★”标示的内容为不允许负偏离的实质性要求）</w:t>
      </w:r>
    </w:p>
    <w:p>
      <w:pPr>
        <w:pStyle w:val="7"/>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sz w:val="28"/>
          <w:szCs w:val="28"/>
        </w:rPr>
        <w:t>★</w:t>
      </w:r>
      <w:r>
        <w:rPr>
          <w:rFonts w:hint="eastAsia" w:asciiTheme="minorEastAsia" w:hAnsiTheme="minorEastAsia" w:cstheme="minorEastAsia"/>
          <w:b/>
          <w:bCs/>
          <w:sz w:val="24"/>
          <w:szCs w:val="24"/>
          <w:lang w:val="en-US" w:eastAsia="zh-CN"/>
        </w:rPr>
        <w:t>（</w:t>
      </w:r>
      <w:r>
        <w:rPr>
          <w:rFonts w:hint="eastAsia" w:asciiTheme="minorEastAsia" w:hAnsiTheme="minorEastAsia" w:eastAsiaTheme="minorEastAsia" w:cstheme="minorEastAsia"/>
          <w:b/>
          <w:bCs/>
          <w:sz w:val="24"/>
          <w:szCs w:val="24"/>
          <w:lang w:val="en-US" w:eastAsia="zh-CN"/>
        </w:rPr>
        <w:t>一</w:t>
      </w:r>
      <w:r>
        <w:rPr>
          <w:rFonts w:hint="eastAsia" w:asciiTheme="minorEastAsia" w:hAnsiTheme="minorEastAsia" w:cstheme="minorEastAsia"/>
          <w:b/>
          <w:bCs/>
          <w:sz w:val="24"/>
          <w:szCs w:val="24"/>
          <w:lang w:val="en-US" w:eastAsia="zh-CN"/>
        </w:rPr>
        <w:t>）安全宣教</w:t>
      </w:r>
      <w:r>
        <w:rPr>
          <w:rFonts w:hint="eastAsia" w:asciiTheme="minorEastAsia" w:hAnsiTheme="minorEastAsia" w:eastAsiaTheme="minorEastAsia" w:cstheme="minorEastAsia"/>
          <w:b/>
          <w:bCs/>
          <w:sz w:val="24"/>
          <w:szCs w:val="24"/>
          <w:lang w:val="en-US" w:eastAsia="zh-CN"/>
        </w:rPr>
        <w:t>播控服务</w:t>
      </w:r>
      <w:r>
        <w:rPr>
          <w:rFonts w:hint="eastAsia" w:asciiTheme="minorEastAsia" w:hAnsiTheme="minorEastAsia" w:cstheme="minorEastAsia"/>
          <w:b/>
          <w:bCs/>
          <w:sz w:val="24"/>
          <w:szCs w:val="24"/>
          <w:lang w:val="en-US" w:eastAsia="zh-CN"/>
        </w:rPr>
        <w:t>（本项中各小项均为不可偏离项）</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1.200个宣教大屏时段播控服务</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采购2022年和2023年已建成的200面宣教大屏播控服务，</w:t>
      </w:r>
      <w:r>
        <w:rPr>
          <w:rFonts w:hint="eastAsia" w:asciiTheme="minorEastAsia" w:hAnsiTheme="minorEastAsia" w:cstheme="minorEastAsia"/>
          <w:b/>
          <w:bCs/>
          <w:color w:val="auto"/>
          <w:sz w:val="24"/>
          <w:szCs w:val="24"/>
          <w:lang w:val="en-US" w:eastAsia="zh-CN"/>
        </w:rPr>
        <w:t>投标人</w:t>
      </w:r>
      <w:r>
        <w:rPr>
          <w:rFonts w:hint="eastAsia" w:asciiTheme="minorEastAsia" w:hAnsiTheme="minorEastAsia" w:eastAsiaTheme="minorEastAsia" w:cstheme="minorEastAsia"/>
          <w:b/>
          <w:bCs/>
          <w:color w:val="auto"/>
          <w:sz w:val="24"/>
          <w:szCs w:val="24"/>
          <w:lang w:val="en-US" w:eastAsia="zh-CN"/>
        </w:rPr>
        <w:t>自行承担硬件设备管理主体责任，负责宣教大屏运维管理；每天播放4小时。</w:t>
      </w:r>
      <w:r>
        <w:rPr>
          <w:rFonts w:hint="eastAsia" w:asciiTheme="minorEastAsia" w:hAnsiTheme="minorEastAsia" w:cstheme="minorEastAsia"/>
          <w:b/>
          <w:bCs/>
          <w:color w:val="auto"/>
          <w:sz w:val="24"/>
          <w:szCs w:val="24"/>
          <w:lang w:val="en-US" w:eastAsia="zh-CN"/>
        </w:rPr>
        <w:t>投标人</w:t>
      </w:r>
      <w:r>
        <w:rPr>
          <w:rFonts w:hint="eastAsia" w:asciiTheme="minorEastAsia" w:hAnsiTheme="minorEastAsia" w:eastAsiaTheme="minorEastAsia" w:cstheme="minorEastAsia"/>
          <w:b/>
          <w:bCs/>
          <w:color w:val="auto"/>
          <w:sz w:val="24"/>
          <w:szCs w:val="24"/>
          <w:lang w:val="en-US" w:eastAsia="zh-CN"/>
        </w:rPr>
        <w:t>应对现有安全宣教联播联控系统各功能模块及相应硬件设备进行升级维护，包含相关功能模块的优化，以及新功能的定制化开发，确保在系统不做大的变更前提下，平滑升级到更高的层级。确保现有300面宣教大屏接入统一平台进行管理，实现“同一种声音、同一个画面”覆盖全省，形成立体覆盖、多元互动的安全宣教声势。需确保系统的业务处理能力不低于300个终端的同时接入。由</w:t>
      </w:r>
      <w:r>
        <w:rPr>
          <w:rFonts w:hint="eastAsia" w:asciiTheme="minorEastAsia" w:hAnsiTheme="minorEastAsia" w:cstheme="minorEastAsia"/>
          <w:b/>
          <w:bCs/>
          <w:color w:val="auto"/>
          <w:sz w:val="24"/>
          <w:szCs w:val="24"/>
          <w:lang w:val="en-US" w:eastAsia="zh-CN"/>
        </w:rPr>
        <w:t>投标人</w:t>
      </w:r>
      <w:r>
        <w:rPr>
          <w:rFonts w:hint="eastAsia" w:asciiTheme="minorEastAsia" w:hAnsiTheme="minorEastAsia" w:eastAsiaTheme="minorEastAsia" w:cstheme="minorEastAsia"/>
          <w:b/>
          <w:bCs/>
          <w:color w:val="auto"/>
          <w:sz w:val="24"/>
          <w:szCs w:val="24"/>
          <w:lang w:val="en-US" w:eastAsia="zh-CN"/>
        </w:rPr>
        <w:t>负责大屏运维管理，服务期内提供内容编播和硬件维护不少于两名专门人员，在采购人指定办公地点开展日常项目服务工作，保障日常业务对接及事件及时处置。</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服务周期：2022年</w:t>
      </w:r>
      <w:r>
        <w:rPr>
          <w:rFonts w:hint="eastAsia" w:asciiTheme="minorEastAsia" w:hAnsiTheme="minorEastAsia" w:cstheme="minorEastAsia"/>
          <w:b/>
          <w:bCs/>
          <w:color w:val="auto"/>
          <w:sz w:val="24"/>
          <w:szCs w:val="24"/>
          <w:lang w:val="en-US" w:eastAsia="zh-CN"/>
        </w:rPr>
        <w:t>建成的</w:t>
      </w:r>
      <w:r>
        <w:rPr>
          <w:rFonts w:hint="eastAsia" w:asciiTheme="minorEastAsia" w:hAnsiTheme="minorEastAsia" w:eastAsiaTheme="minorEastAsia" w:cstheme="minorEastAsia"/>
          <w:b/>
          <w:bCs/>
          <w:color w:val="auto"/>
          <w:sz w:val="24"/>
          <w:szCs w:val="24"/>
          <w:lang w:val="en-US" w:eastAsia="zh-CN"/>
        </w:rPr>
        <w:t>宣教大屏为2027年5月1日至202</w:t>
      </w:r>
      <w:r>
        <w:rPr>
          <w:rFonts w:hint="eastAsia" w:asciiTheme="minorEastAsia" w:hAnsiTheme="minorEastAsia" w:cstheme="minorEastAsia"/>
          <w:b/>
          <w:bCs/>
          <w:color w:val="auto"/>
          <w:sz w:val="24"/>
          <w:szCs w:val="24"/>
          <w:lang w:val="en-US" w:eastAsia="zh-CN"/>
        </w:rPr>
        <w:t>8</w:t>
      </w:r>
      <w:r>
        <w:rPr>
          <w:rFonts w:hint="eastAsia" w:asciiTheme="minorEastAsia" w:hAnsiTheme="minorEastAsia" w:eastAsiaTheme="minorEastAsia" w:cstheme="minorEastAsia"/>
          <w:b/>
          <w:bCs/>
          <w:color w:val="auto"/>
          <w:sz w:val="24"/>
          <w:szCs w:val="24"/>
          <w:lang w:val="en-US" w:eastAsia="zh-CN"/>
        </w:rPr>
        <w:t>年</w:t>
      </w:r>
      <w:r>
        <w:rPr>
          <w:rFonts w:hint="eastAsia" w:asciiTheme="minorEastAsia" w:hAnsiTheme="minorEastAsia" w:cstheme="minorEastAsia"/>
          <w:b/>
          <w:bCs/>
          <w:color w:val="auto"/>
          <w:sz w:val="24"/>
          <w:szCs w:val="24"/>
          <w:lang w:val="en-US" w:eastAsia="zh-CN"/>
        </w:rPr>
        <w:t>4</w:t>
      </w:r>
      <w:r>
        <w:rPr>
          <w:rFonts w:hint="eastAsia" w:asciiTheme="minorEastAsia" w:hAnsiTheme="minorEastAsia" w:eastAsiaTheme="minorEastAsia" w:cstheme="minorEastAsia"/>
          <w:b/>
          <w:bCs/>
          <w:color w:val="auto"/>
          <w:sz w:val="24"/>
          <w:szCs w:val="24"/>
          <w:lang w:val="en-US" w:eastAsia="zh-CN"/>
        </w:rPr>
        <w:t>月</w:t>
      </w:r>
      <w:r>
        <w:rPr>
          <w:rFonts w:hint="eastAsia" w:asciiTheme="minorEastAsia" w:hAnsiTheme="minorEastAsia" w:cstheme="minorEastAsia"/>
          <w:b/>
          <w:bCs/>
          <w:color w:val="auto"/>
          <w:sz w:val="24"/>
          <w:szCs w:val="24"/>
          <w:lang w:val="en-US" w:eastAsia="zh-CN"/>
        </w:rPr>
        <w:t>30</w:t>
      </w:r>
      <w:r>
        <w:rPr>
          <w:rFonts w:hint="eastAsia" w:asciiTheme="minorEastAsia" w:hAnsiTheme="minorEastAsia" w:eastAsiaTheme="minorEastAsia" w:cstheme="minorEastAsia"/>
          <w:b/>
          <w:bCs/>
          <w:color w:val="auto"/>
          <w:sz w:val="24"/>
          <w:szCs w:val="24"/>
          <w:lang w:val="en-US" w:eastAsia="zh-CN"/>
        </w:rPr>
        <w:t>日；2023年宣教大屏为2027年1月1日至2027年12月31日。</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2.200套应急广播播控服务</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采购2022年和2023年建设的200套应急广播播控服务，服务时长为每天4个小时，具体时间根据业主播放需求确定；同时对2022年和2023年应急广播平台融合以及广播终端播控设备进行升级，加大平台管控能力。</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服务周期：2022年</w:t>
      </w:r>
      <w:r>
        <w:rPr>
          <w:rFonts w:hint="eastAsia" w:asciiTheme="minorEastAsia" w:hAnsiTheme="minorEastAsia" w:cstheme="minorEastAsia"/>
          <w:b/>
          <w:bCs/>
          <w:color w:val="auto"/>
          <w:sz w:val="24"/>
          <w:szCs w:val="24"/>
          <w:lang w:val="en-US" w:eastAsia="zh-CN"/>
        </w:rPr>
        <w:t>建成的</w:t>
      </w:r>
      <w:r>
        <w:rPr>
          <w:rFonts w:hint="eastAsia" w:asciiTheme="minorEastAsia" w:hAnsiTheme="minorEastAsia" w:eastAsiaTheme="minorEastAsia" w:cstheme="minorEastAsia"/>
          <w:b/>
          <w:bCs/>
          <w:color w:val="auto"/>
          <w:sz w:val="24"/>
          <w:szCs w:val="24"/>
          <w:lang w:val="en-US" w:eastAsia="zh-CN"/>
        </w:rPr>
        <w:t>应急广播为2027年5月1日至202</w:t>
      </w:r>
      <w:r>
        <w:rPr>
          <w:rFonts w:hint="eastAsia" w:asciiTheme="minorEastAsia" w:hAnsiTheme="minorEastAsia" w:cstheme="minorEastAsia"/>
          <w:b/>
          <w:bCs/>
          <w:color w:val="auto"/>
          <w:sz w:val="24"/>
          <w:szCs w:val="24"/>
          <w:lang w:val="en-US" w:eastAsia="zh-CN"/>
        </w:rPr>
        <w:t>8</w:t>
      </w:r>
      <w:r>
        <w:rPr>
          <w:rFonts w:hint="eastAsia" w:asciiTheme="minorEastAsia" w:hAnsiTheme="minorEastAsia" w:eastAsiaTheme="minorEastAsia" w:cstheme="minorEastAsia"/>
          <w:b/>
          <w:bCs/>
          <w:color w:val="auto"/>
          <w:sz w:val="24"/>
          <w:szCs w:val="24"/>
          <w:lang w:val="en-US" w:eastAsia="zh-CN"/>
        </w:rPr>
        <w:t>年</w:t>
      </w:r>
      <w:r>
        <w:rPr>
          <w:rFonts w:hint="eastAsia" w:asciiTheme="minorEastAsia" w:hAnsiTheme="minorEastAsia" w:cstheme="minorEastAsia"/>
          <w:b/>
          <w:bCs/>
          <w:color w:val="auto"/>
          <w:sz w:val="24"/>
          <w:szCs w:val="24"/>
          <w:lang w:val="en-US" w:eastAsia="zh-CN"/>
        </w:rPr>
        <w:t>4</w:t>
      </w:r>
      <w:r>
        <w:rPr>
          <w:rFonts w:hint="eastAsia" w:asciiTheme="minorEastAsia" w:hAnsiTheme="minorEastAsia" w:eastAsiaTheme="minorEastAsia" w:cstheme="minorEastAsia"/>
          <w:b/>
          <w:bCs/>
          <w:color w:val="auto"/>
          <w:sz w:val="24"/>
          <w:szCs w:val="24"/>
          <w:lang w:val="en-US" w:eastAsia="zh-CN"/>
        </w:rPr>
        <w:t>月</w:t>
      </w:r>
      <w:r>
        <w:rPr>
          <w:rFonts w:hint="eastAsia" w:asciiTheme="minorEastAsia" w:hAnsiTheme="minorEastAsia" w:cstheme="minorEastAsia"/>
          <w:b/>
          <w:bCs/>
          <w:color w:val="auto"/>
          <w:sz w:val="24"/>
          <w:szCs w:val="24"/>
          <w:lang w:val="en-US" w:eastAsia="zh-CN"/>
        </w:rPr>
        <w:t>30</w:t>
      </w:r>
      <w:r>
        <w:rPr>
          <w:rFonts w:hint="eastAsia" w:asciiTheme="minorEastAsia" w:hAnsiTheme="minorEastAsia" w:eastAsiaTheme="minorEastAsia" w:cstheme="minorEastAsia"/>
          <w:b/>
          <w:bCs/>
          <w:color w:val="auto"/>
          <w:sz w:val="24"/>
          <w:szCs w:val="24"/>
          <w:lang w:val="en-US" w:eastAsia="zh-CN"/>
        </w:rPr>
        <w:t>日；2023年应急广播为2027年1月1日至2027年12月31日。</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3.人流监测服务</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1）全省200个安全文化示范园已建设观屏人流密度统计系统，实现对全省所有主题公园观屏人员的人数统计功能。以便管理者分析判断播放节目的吸引度，以便调整节目效果，也可根据不同地区调整节目，吸引更多游客，达到更好的宣传效果。本项目将</w:t>
      </w:r>
      <w:r>
        <w:rPr>
          <w:rFonts w:hint="eastAsia" w:asciiTheme="minorEastAsia" w:hAnsiTheme="minorEastAsia" w:cstheme="minorEastAsia"/>
          <w:b/>
          <w:bCs/>
          <w:sz w:val="24"/>
          <w:szCs w:val="24"/>
          <w:lang w:val="en-US" w:eastAsia="zh-CN"/>
        </w:rPr>
        <w:t>延用</w:t>
      </w:r>
      <w:r>
        <w:rPr>
          <w:rFonts w:hint="eastAsia" w:asciiTheme="minorEastAsia" w:hAnsiTheme="minorEastAsia" w:eastAsiaTheme="minorEastAsia" w:cstheme="minorEastAsia"/>
          <w:b/>
          <w:bCs/>
          <w:sz w:val="24"/>
          <w:szCs w:val="24"/>
          <w:lang w:val="en-US" w:eastAsia="zh-CN"/>
        </w:rPr>
        <w:t>200套人流密度检测摄像机接入观屏人流统计系统。用于人流密度检测分析，视频监控数据存储。</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（2）对扩容观屏人流统计系统接入许可进行扩容，延续现有业务能力， 增加(续租)200个终端接入授权。</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4.网络安全保障服务</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投标人须配套提供相应的网络安全等级保障，为安全宣教联播联控系统、应急宣教广播系统、应急宣教视频监控系统等提供包括防火墙、硬件入侵检测、日志审计、数据库审计、堡垒机等网络安全保障服务，</w:t>
      </w:r>
      <w:r>
        <w:rPr>
          <w:rFonts w:hint="eastAsia" w:asciiTheme="minorEastAsia" w:hAnsiTheme="minorEastAsia" w:cstheme="minorEastAsia"/>
          <w:b/>
          <w:bCs/>
          <w:color w:val="auto"/>
          <w:sz w:val="24"/>
          <w:szCs w:val="24"/>
          <w:lang w:val="en-US" w:eastAsia="zh-CN"/>
        </w:rPr>
        <w:t>（</w:t>
      </w:r>
      <w:r>
        <w:rPr>
          <w:rFonts w:hint="eastAsia" w:asciiTheme="minorEastAsia" w:hAnsiTheme="minorEastAsia" w:eastAsiaTheme="minorEastAsia" w:cstheme="minorEastAsia"/>
          <w:b/>
          <w:bCs/>
          <w:color w:val="auto"/>
          <w:sz w:val="24"/>
          <w:szCs w:val="24"/>
          <w:lang w:val="en-US" w:eastAsia="zh-CN"/>
        </w:rPr>
        <w:t>服务周期：2022年</w:t>
      </w:r>
      <w:r>
        <w:rPr>
          <w:rFonts w:hint="eastAsia" w:asciiTheme="minorEastAsia" w:hAnsiTheme="minorEastAsia" w:cstheme="minorEastAsia"/>
          <w:b/>
          <w:bCs/>
          <w:color w:val="auto"/>
          <w:sz w:val="24"/>
          <w:szCs w:val="24"/>
          <w:lang w:val="en-US" w:eastAsia="zh-CN"/>
        </w:rPr>
        <w:t>建成的</w:t>
      </w:r>
      <w:r>
        <w:rPr>
          <w:rFonts w:hint="eastAsia" w:asciiTheme="minorEastAsia" w:hAnsiTheme="minorEastAsia" w:eastAsiaTheme="minorEastAsia" w:cstheme="minorEastAsia"/>
          <w:b/>
          <w:bCs/>
          <w:color w:val="auto"/>
          <w:sz w:val="24"/>
          <w:szCs w:val="24"/>
          <w:lang w:val="en-US" w:eastAsia="zh-CN"/>
        </w:rPr>
        <w:t>宣教大屏为2027年5月1日至202</w:t>
      </w:r>
      <w:r>
        <w:rPr>
          <w:rFonts w:hint="eastAsia" w:asciiTheme="minorEastAsia" w:hAnsiTheme="minorEastAsia" w:cstheme="minorEastAsia"/>
          <w:b/>
          <w:bCs/>
          <w:color w:val="auto"/>
          <w:sz w:val="24"/>
          <w:szCs w:val="24"/>
          <w:lang w:val="en-US" w:eastAsia="zh-CN"/>
        </w:rPr>
        <w:t>8</w:t>
      </w:r>
      <w:r>
        <w:rPr>
          <w:rFonts w:hint="eastAsia" w:asciiTheme="minorEastAsia" w:hAnsiTheme="minorEastAsia" w:eastAsiaTheme="minorEastAsia" w:cstheme="minorEastAsia"/>
          <w:b/>
          <w:bCs/>
          <w:color w:val="auto"/>
          <w:sz w:val="24"/>
          <w:szCs w:val="24"/>
          <w:lang w:val="en-US" w:eastAsia="zh-CN"/>
        </w:rPr>
        <w:t>年</w:t>
      </w:r>
      <w:r>
        <w:rPr>
          <w:rFonts w:hint="eastAsia" w:asciiTheme="minorEastAsia" w:hAnsiTheme="minorEastAsia" w:cstheme="minorEastAsia"/>
          <w:b/>
          <w:bCs/>
          <w:color w:val="auto"/>
          <w:sz w:val="24"/>
          <w:szCs w:val="24"/>
          <w:lang w:val="en-US" w:eastAsia="zh-CN"/>
        </w:rPr>
        <w:t>4</w:t>
      </w:r>
      <w:r>
        <w:rPr>
          <w:rFonts w:hint="eastAsia" w:asciiTheme="minorEastAsia" w:hAnsiTheme="minorEastAsia" w:eastAsiaTheme="minorEastAsia" w:cstheme="minorEastAsia"/>
          <w:b/>
          <w:bCs/>
          <w:color w:val="auto"/>
          <w:sz w:val="24"/>
          <w:szCs w:val="24"/>
          <w:lang w:val="en-US" w:eastAsia="zh-CN"/>
        </w:rPr>
        <w:t>月</w:t>
      </w:r>
      <w:r>
        <w:rPr>
          <w:rFonts w:hint="eastAsia" w:asciiTheme="minorEastAsia" w:hAnsiTheme="minorEastAsia" w:cstheme="minorEastAsia"/>
          <w:b/>
          <w:bCs/>
          <w:color w:val="auto"/>
          <w:sz w:val="24"/>
          <w:szCs w:val="24"/>
          <w:lang w:val="en-US" w:eastAsia="zh-CN"/>
        </w:rPr>
        <w:t>30</w:t>
      </w:r>
      <w:r>
        <w:rPr>
          <w:rFonts w:hint="eastAsia" w:asciiTheme="minorEastAsia" w:hAnsiTheme="minorEastAsia" w:eastAsiaTheme="minorEastAsia" w:cstheme="minorEastAsia"/>
          <w:b/>
          <w:bCs/>
          <w:color w:val="auto"/>
          <w:sz w:val="24"/>
          <w:szCs w:val="24"/>
          <w:lang w:val="en-US" w:eastAsia="zh-CN"/>
        </w:rPr>
        <w:t>日；2023年宣教大屏为2027年1月1日至2027年12月31日</w:t>
      </w:r>
      <w:r>
        <w:rPr>
          <w:rFonts w:hint="eastAsia" w:asciiTheme="minorEastAsia" w:hAnsiTheme="minorEastAsia" w:cstheme="minorEastAsia"/>
          <w:b/>
          <w:bCs/>
          <w:color w:val="auto"/>
          <w:sz w:val="24"/>
          <w:szCs w:val="24"/>
          <w:lang w:val="en-US" w:eastAsia="zh-CN"/>
        </w:rPr>
        <w:t>）</w:t>
      </w:r>
    </w:p>
    <w:p>
      <w:pPr>
        <w:pStyle w:val="7"/>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color w:val="auto"/>
          <w:sz w:val="28"/>
          <w:szCs w:val="28"/>
        </w:rPr>
        <w:t>★</w:t>
      </w:r>
      <w:r>
        <w:rPr>
          <w:rFonts w:hint="eastAsia" w:asciiTheme="minorEastAsia" w:hAnsiTheme="minorEastAsia" w:cstheme="minorEastAsia"/>
          <w:b/>
          <w:bCs/>
          <w:color w:val="auto"/>
          <w:sz w:val="24"/>
          <w:szCs w:val="24"/>
          <w:lang w:val="en-US" w:eastAsia="zh-CN"/>
        </w:rPr>
        <w:t>（二）</w:t>
      </w:r>
      <w:r>
        <w:rPr>
          <w:rFonts w:hint="eastAsia" w:asciiTheme="minorEastAsia" w:hAnsiTheme="minorEastAsia" w:eastAsiaTheme="minorEastAsia" w:cstheme="minorEastAsia"/>
          <w:b/>
          <w:bCs/>
          <w:color w:val="auto"/>
          <w:sz w:val="24"/>
          <w:szCs w:val="24"/>
          <w:lang w:val="en-US" w:eastAsia="zh-CN"/>
        </w:rPr>
        <w:t>媒体广告播出服务</w:t>
      </w:r>
      <w:r>
        <w:rPr>
          <w:rFonts w:hint="eastAsia" w:asciiTheme="minorEastAsia" w:hAnsiTheme="minorEastAsia" w:cstheme="minorEastAsia"/>
          <w:b/>
          <w:bCs/>
          <w:color w:val="auto"/>
          <w:sz w:val="24"/>
          <w:szCs w:val="24"/>
          <w:lang w:val="en-US" w:eastAsia="zh-CN"/>
        </w:rPr>
        <w:t>（本项中各小项均为不可偏离项）</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1.</w:t>
      </w:r>
      <w:r>
        <w:rPr>
          <w:rFonts w:hint="eastAsia" w:asciiTheme="minorEastAsia" w:hAnsiTheme="minorEastAsia" w:cstheme="minorEastAsia"/>
          <w:b/>
          <w:bCs/>
          <w:color w:val="auto"/>
          <w:sz w:val="24"/>
          <w:szCs w:val="24"/>
          <w:lang w:val="en-US" w:eastAsia="zh-CN"/>
        </w:rPr>
        <w:t>福州地铁电视广告</w:t>
      </w:r>
      <w:r>
        <w:rPr>
          <w:rFonts w:hint="eastAsia" w:asciiTheme="minorEastAsia" w:hAnsiTheme="minorEastAsia" w:eastAsiaTheme="minorEastAsia" w:cstheme="minorEastAsia"/>
          <w:b/>
          <w:bCs/>
          <w:color w:val="auto"/>
          <w:sz w:val="24"/>
          <w:szCs w:val="24"/>
          <w:lang w:val="en-US" w:eastAsia="zh-CN"/>
        </w:rPr>
        <w:t>（15秒/次；每天不少于30次，电视不少于500面，投放不少于100天）；</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2.福州市区主干道、十字路口户外广告（户外LED电子屏、跨街天桥看板等）（15秒/次；每天不少于120次，投放一年）；</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3.社区电梯媒体广告投放（15秒/次；福州市区至少500块屏幕，每天不少于300次，投放不少于180天）。</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cstheme="minorEastAsia"/>
          <w:b/>
          <w:bCs/>
          <w:color w:val="auto"/>
          <w:sz w:val="24"/>
          <w:szCs w:val="24"/>
          <w:lang w:val="en-US" w:eastAsia="zh-CN"/>
        </w:rPr>
      </w:pPr>
      <w:r>
        <w:rPr>
          <w:rFonts w:hint="eastAsia" w:asciiTheme="minorEastAsia" w:hAnsiTheme="minorEastAsia" w:cstheme="minorEastAsia"/>
          <w:b/>
          <w:bCs/>
          <w:color w:val="auto"/>
          <w:sz w:val="24"/>
          <w:szCs w:val="24"/>
          <w:lang w:val="en-US" w:eastAsia="zh-CN"/>
        </w:rPr>
        <w:t>（三）技术和服务保障</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asciiTheme="minorEastAsia" w:hAnsiTheme="minorEastAsia" w:eastAsiaTheme="minorEastAsia" w:cstheme="minorEastAsia"/>
          <w:b/>
          <w:bCs/>
          <w:sz w:val="24"/>
          <w:szCs w:val="24"/>
          <w:lang w:eastAsia="zh-CN"/>
        </w:rPr>
      </w:pPr>
      <w:r>
        <w:rPr>
          <w:rFonts w:hint="eastAsia" w:asciiTheme="minorEastAsia" w:hAnsiTheme="minorEastAsia" w:cstheme="minorEastAsia"/>
          <w:b/>
          <w:bCs/>
          <w:color w:val="auto"/>
          <w:sz w:val="24"/>
          <w:szCs w:val="24"/>
          <w:lang w:val="en-US" w:eastAsia="zh-CN"/>
        </w:rPr>
        <w:t>【评审项1】</w:t>
      </w:r>
      <w:r>
        <w:rPr>
          <w:rFonts w:asciiTheme="minorEastAsia" w:hAnsiTheme="minorEastAsia" w:eastAsiaTheme="minorEastAsia" w:cstheme="minorEastAsia"/>
          <w:b/>
          <w:bCs/>
          <w:color w:val="auto"/>
          <w:sz w:val="24"/>
          <w:szCs w:val="24"/>
          <w:lang w:eastAsia="zh-CN"/>
        </w:rPr>
        <w:t>投标人须符合技术规范《应急广播消息格式规范》（GY/T 385—2023）、《应急广播平台接口规范》（GY/T 384—2023）的要求</w:t>
      </w:r>
      <w:r>
        <w:rPr>
          <w:rFonts w:asciiTheme="minorEastAsia" w:hAnsiTheme="minorEastAsia" w:eastAsiaTheme="minorEastAsia" w:cstheme="minorEastAsia"/>
          <w:b/>
          <w:bCs/>
          <w:sz w:val="24"/>
          <w:szCs w:val="24"/>
          <w:lang w:eastAsia="zh-CN"/>
        </w:rPr>
        <w:t>，提供100套应急广播设备及相对应的播发系统，在紧急情况下，通过广播系统向公众发布相关紧急信息，以便公众及时了解并采取应对措施。</w:t>
      </w:r>
    </w:p>
    <w:p>
      <w:pPr>
        <w:pStyle w:val="7"/>
        <w:spacing w:line="360" w:lineRule="auto"/>
        <w:ind w:firstLine="481" w:firstLineChars="200"/>
        <w:jc w:val="left"/>
        <w:rPr>
          <w:rFonts w:asciiTheme="minorEastAsia" w:hAnsiTheme="minorEastAsia" w:eastAsiaTheme="minorEastAsia" w:cstheme="minorEastAsia"/>
          <w:b/>
          <w:bCs/>
          <w:sz w:val="24"/>
          <w:szCs w:val="24"/>
          <w:lang w:eastAsia="zh-CN"/>
        </w:rPr>
      </w:pPr>
      <w:r>
        <w:rPr>
          <w:rFonts w:hint="eastAsia" w:asciiTheme="minorEastAsia" w:hAnsiTheme="minorEastAsia" w:cstheme="minorEastAsia"/>
          <w:b/>
          <w:bCs/>
          <w:sz w:val="24"/>
          <w:szCs w:val="24"/>
          <w:lang w:val="en-US" w:eastAsia="zh-CN"/>
        </w:rPr>
        <w:t>【评审项2】</w:t>
      </w:r>
      <w:r>
        <w:rPr>
          <w:rFonts w:asciiTheme="minorEastAsia" w:hAnsiTheme="minorEastAsia" w:eastAsiaTheme="minorEastAsia" w:cstheme="minorEastAsia"/>
          <w:b/>
          <w:bCs/>
          <w:sz w:val="24"/>
          <w:szCs w:val="24"/>
          <w:lang w:eastAsia="zh-CN"/>
        </w:rPr>
        <w:t>视频巡查统计系统包含视频巡查子系统和观屏人流统计子系统。</w:t>
      </w:r>
    </w:p>
    <w:p>
      <w:pPr>
        <w:pStyle w:val="7"/>
        <w:spacing w:line="360" w:lineRule="auto"/>
        <w:ind w:firstLine="481" w:firstLineChars="200"/>
        <w:jc w:val="left"/>
        <w:rPr>
          <w:rFonts w:asciiTheme="minorEastAsia" w:hAnsiTheme="minorEastAsia" w:cstheme="minorEastAsia"/>
          <w:b/>
          <w:bCs/>
          <w:sz w:val="24"/>
          <w:szCs w:val="24"/>
          <w:lang w:eastAsia="zh-CN"/>
        </w:rPr>
      </w:pPr>
      <w:r>
        <w:rPr>
          <w:rFonts w:hint="eastAsia" w:asciiTheme="minorEastAsia" w:hAnsiTheme="minorEastAsia" w:cstheme="minorEastAsia"/>
          <w:b/>
          <w:bCs/>
          <w:sz w:val="24"/>
          <w:szCs w:val="24"/>
          <w:lang w:val="en-US" w:eastAsia="zh-CN"/>
        </w:rPr>
        <w:t>【评审项3】</w:t>
      </w:r>
      <w:r>
        <w:rPr>
          <w:rFonts w:asciiTheme="minorEastAsia" w:hAnsiTheme="minorEastAsia" w:eastAsiaTheme="minorEastAsia" w:cstheme="minorEastAsia"/>
          <w:b/>
          <w:bCs/>
          <w:sz w:val="24"/>
          <w:szCs w:val="24"/>
          <w:lang w:eastAsia="zh-CN"/>
        </w:rPr>
        <w:t>视频巡查子系统是指通过安装在宣教大屏上方的摄像头，对该区域及屏幕运行状态进行实时监控，并对监控画面进行录制和存储，以便在需要时进行查看和分析。</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eastAsiaTheme="minorEastAsia" w:cstheme="minorEastAsia"/>
          <w:b/>
          <w:bCs/>
          <w:sz w:val="24"/>
          <w:szCs w:val="24"/>
          <w:lang w:eastAsia="zh-CN"/>
        </w:rPr>
      </w:pPr>
      <w:r>
        <w:rPr>
          <w:rFonts w:hint="eastAsia" w:asciiTheme="minorEastAsia" w:hAnsiTheme="minorEastAsia" w:cstheme="minorEastAsia"/>
          <w:b/>
          <w:bCs/>
          <w:sz w:val="24"/>
          <w:szCs w:val="24"/>
          <w:lang w:val="en-US" w:eastAsia="zh-CN"/>
        </w:rPr>
        <w:t>【评审项4】</w:t>
      </w:r>
      <w:r>
        <w:rPr>
          <w:rFonts w:asciiTheme="minorEastAsia" w:hAnsiTheme="minorEastAsia" w:eastAsiaTheme="minorEastAsia" w:cstheme="minorEastAsia"/>
          <w:b/>
          <w:bCs/>
          <w:sz w:val="24"/>
          <w:szCs w:val="24"/>
          <w:lang w:eastAsia="zh-CN"/>
        </w:rPr>
        <w:t>人流统计子系统是指通过安装在宣教大屏上方的传感器或摄像头，对该区域内人流量进行实时统计和分析，统计不同时段在宣教大屏附近观看的人数，以便对人流量进行管理和调控</w:t>
      </w:r>
      <w:r>
        <w:rPr>
          <w:rFonts w:hint="eastAsia" w:asciiTheme="minorEastAsia" w:hAnsiTheme="minorEastAsia" w:eastAsiaTheme="minorEastAsia" w:cstheme="minorEastAsia"/>
          <w:b/>
          <w:bCs/>
          <w:sz w:val="24"/>
          <w:szCs w:val="24"/>
          <w:lang w:eastAsia="zh-CN"/>
        </w:rPr>
        <w:t>。</w:t>
      </w:r>
    </w:p>
    <w:p>
      <w:pPr>
        <w:pStyle w:val="7"/>
        <w:spacing w:line="360" w:lineRule="auto"/>
        <w:ind w:firstLine="481" w:firstLineChars="200"/>
        <w:jc w:val="left"/>
        <w:rPr>
          <w:rFonts w:asciiTheme="minorEastAsia" w:hAnsiTheme="minorEastAsia" w:cstheme="minorEastAsia"/>
          <w:b/>
          <w:bCs/>
          <w:sz w:val="24"/>
          <w:szCs w:val="24"/>
          <w:lang w:eastAsia="zh-CN"/>
        </w:rPr>
      </w:pPr>
      <w:r>
        <w:rPr>
          <w:rFonts w:hint="eastAsia" w:asciiTheme="minorEastAsia" w:hAnsiTheme="minorEastAsia" w:cstheme="minorEastAsia"/>
          <w:b/>
          <w:bCs/>
          <w:sz w:val="24"/>
          <w:szCs w:val="24"/>
          <w:lang w:val="en-US" w:eastAsia="zh-CN"/>
        </w:rPr>
        <w:t>【评审项5】</w:t>
      </w:r>
      <w:r>
        <w:rPr>
          <w:rFonts w:asciiTheme="minorEastAsia" w:hAnsiTheme="minorEastAsia" w:eastAsiaTheme="minorEastAsia" w:cstheme="minorEastAsia"/>
          <w:b/>
          <w:bCs/>
          <w:sz w:val="24"/>
          <w:szCs w:val="24"/>
          <w:lang w:eastAsia="zh-CN"/>
        </w:rPr>
        <w:t>在“五个一百”工程安全宣教节目播控服务项目日常运营管理过程中，为确保宣教大屏、应急广播、联播联控系统、视频巡查系统、应急厅融媒体中心、网络安全等正常运行，</w:t>
      </w:r>
      <w:r>
        <w:rPr>
          <w:rFonts w:hint="eastAsia" w:asciiTheme="minorEastAsia" w:hAnsiTheme="minorEastAsia" w:cstheme="minorEastAsia"/>
          <w:b/>
          <w:bCs/>
          <w:sz w:val="24"/>
          <w:szCs w:val="24"/>
          <w:lang w:eastAsia="zh-CN"/>
        </w:rPr>
        <w:t>投标人应</w:t>
      </w:r>
      <w:r>
        <w:rPr>
          <w:rFonts w:asciiTheme="minorEastAsia" w:hAnsiTheme="minorEastAsia" w:eastAsiaTheme="minorEastAsia" w:cstheme="minorEastAsia"/>
          <w:b/>
          <w:bCs/>
          <w:sz w:val="24"/>
          <w:szCs w:val="24"/>
          <w:lang w:eastAsia="zh-CN"/>
        </w:rPr>
        <w:t>自行承担人员、施工、线路、设备维护、电表安装、电费及其他正常运营所需的必要配套费用，以确保项目稳定运营。</w:t>
      </w:r>
    </w:p>
    <w:p>
      <w:pPr>
        <w:pStyle w:val="7"/>
        <w:spacing w:line="360" w:lineRule="auto"/>
        <w:ind w:firstLine="481" w:firstLineChars="200"/>
        <w:jc w:val="left"/>
        <w:rPr>
          <w:rFonts w:asciiTheme="minorEastAsia" w:hAnsiTheme="minorEastAsia" w:cstheme="minorEastAsia"/>
          <w:b/>
          <w:bCs/>
          <w:sz w:val="24"/>
          <w:szCs w:val="24"/>
          <w:lang w:eastAsia="zh-CN"/>
        </w:rPr>
      </w:pPr>
      <w:r>
        <w:rPr>
          <w:rFonts w:hint="eastAsia" w:asciiTheme="minorEastAsia" w:hAnsiTheme="minorEastAsia" w:cstheme="minorEastAsia"/>
          <w:b/>
          <w:bCs/>
          <w:sz w:val="24"/>
          <w:szCs w:val="24"/>
          <w:lang w:val="en-US" w:eastAsia="zh-CN"/>
        </w:rPr>
        <w:t>【评审项6】</w:t>
      </w:r>
      <w:r>
        <w:rPr>
          <w:rFonts w:hint="eastAsia" w:asciiTheme="minorEastAsia" w:hAnsiTheme="minorEastAsia" w:eastAsiaTheme="minorEastAsia" w:cstheme="minorEastAsia"/>
          <w:b/>
          <w:bCs/>
          <w:sz w:val="24"/>
          <w:szCs w:val="24"/>
          <w:lang w:val="en-US" w:eastAsia="zh-CN"/>
        </w:rPr>
        <w:t>投标人</w:t>
      </w:r>
      <w:r>
        <w:rPr>
          <w:rFonts w:hint="eastAsia" w:asciiTheme="minorEastAsia" w:hAnsiTheme="minorEastAsia" w:cstheme="minorEastAsia"/>
          <w:b/>
          <w:bCs/>
          <w:sz w:val="24"/>
          <w:szCs w:val="24"/>
          <w:lang w:val="en-US" w:eastAsia="zh-CN"/>
        </w:rPr>
        <w:t>应</w:t>
      </w:r>
      <w:r>
        <w:rPr>
          <w:rFonts w:asciiTheme="minorEastAsia" w:hAnsiTheme="minorEastAsia" w:eastAsiaTheme="minorEastAsia" w:cstheme="minorEastAsia"/>
          <w:b/>
          <w:bCs/>
          <w:sz w:val="24"/>
          <w:szCs w:val="24"/>
          <w:lang w:eastAsia="zh-CN"/>
        </w:rPr>
        <w:t>提供配套的安全宣教内容更新、节目编播、播出内容安全审核及管理服务，以及系统日常监控、故障排除、技术支持等运营保障服务。</w:t>
      </w:r>
    </w:p>
    <w:p>
      <w:pPr>
        <w:pStyle w:val="7"/>
        <w:spacing w:line="360" w:lineRule="auto"/>
        <w:ind w:firstLine="481" w:firstLineChars="200"/>
        <w:jc w:val="left"/>
        <w:rPr>
          <w:rFonts w:asciiTheme="minorEastAsia" w:hAnsiTheme="minorEastAsia" w:cstheme="minorEastAsia"/>
          <w:b/>
          <w:bCs/>
          <w:sz w:val="24"/>
          <w:szCs w:val="24"/>
          <w:lang w:eastAsia="zh-CN"/>
        </w:rPr>
      </w:pPr>
      <w:r>
        <w:rPr>
          <w:rFonts w:hint="eastAsia" w:asciiTheme="minorEastAsia" w:hAnsiTheme="minorEastAsia" w:cstheme="minorEastAsia"/>
          <w:b/>
          <w:bCs/>
          <w:sz w:val="24"/>
          <w:szCs w:val="24"/>
          <w:lang w:val="en-US" w:eastAsia="zh-CN"/>
        </w:rPr>
        <w:t>【评审项7】</w:t>
      </w:r>
      <w:r>
        <w:rPr>
          <w:rFonts w:hint="eastAsia" w:asciiTheme="minorEastAsia" w:hAnsiTheme="minorEastAsia" w:eastAsiaTheme="minorEastAsia" w:cstheme="minorEastAsia"/>
          <w:b/>
          <w:bCs/>
          <w:sz w:val="24"/>
          <w:szCs w:val="24"/>
          <w:lang w:val="en-US" w:eastAsia="zh-CN"/>
        </w:rPr>
        <w:t>投标人</w:t>
      </w:r>
      <w:r>
        <w:rPr>
          <w:rFonts w:hint="eastAsia" w:asciiTheme="minorEastAsia" w:hAnsiTheme="minorEastAsia" w:cstheme="minorEastAsia"/>
          <w:b/>
          <w:bCs/>
          <w:sz w:val="24"/>
          <w:szCs w:val="24"/>
          <w:lang w:val="en-US" w:eastAsia="zh-CN"/>
        </w:rPr>
        <w:t>应</w:t>
      </w:r>
      <w:r>
        <w:rPr>
          <w:rFonts w:asciiTheme="minorEastAsia" w:hAnsiTheme="minorEastAsia" w:eastAsiaTheme="minorEastAsia" w:cstheme="minorEastAsia"/>
          <w:b/>
          <w:bCs/>
          <w:sz w:val="24"/>
          <w:szCs w:val="24"/>
          <w:lang w:eastAsia="zh-CN"/>
        </w:rPr>
        <w:t>具备完善的运维团队、健全的内容审核机制和安全保障体系，并负责大屏运维管理。</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cstheme="minorEastAsia"/>
          <w:b/>
          <w:bCs/>
          <w:sz w:val="24"/>
          <w:szCs w:val="24"/>
          <w:lang w:val="en-US" w:eastAsia="zh-CN"/>
        </w:rPr>
        <w:t>【评审项8】</w:t>
      </w:r>
      <w:r>
        <w:rPr>
          <w:rFonts w:asciiTheme="minorEastAsia" w:hAnsiTheme="minorEastAsia" w:cstheme="minorEastAsia"/>
          <w:b/>
          <w:bCs/>
          <w:sz w:val="24"/>
          <w:szCs w:val="24"/>
          <w:shd w:val="clear" w:color="auto" w:fill="auto"/>
          <w:lang w:eastAsia="zh-CN"/>
        </w:rPr>
        <w:t>在</w:t>
      </w:r>
      <w:r>
        <w:rPr>
          <w:rFonts w:hint="eastAsia" w:asciiTheme="minorEastAsia" w:hAnsiTheme="minorEastAsia" w:cstheme="minorEastAsia"/>
          <w:b/>
          <w:bCs/>
          <w:sz w:val="24"/>
          <w:szCs w:val="24"/>
          <w:shd w:val="clear" w:color="auto" w:fill="auto"/>
          <w:lang w:val="en-US" w:eastAsia="zh-CN"/>
        </w:rPr>
        <w:t>本</w:t>
      </w:r>
      <w:r>
        <w:rPr>
          <w:rFonts w:asciiTheme="minorEastAsia" w:hAnsiTheme="minorEastAsia" w:cstheme="minorEastAsia"/>
          <w:b/>
          <w:bCs/>
          <w:sz w:val="24"/>
          <w:szCs w:val="24"/>
          <w:shd w:val="clear" w:color="auto" w:fill="auto"/>
          <w:lang w:eastAsia="zh-CN"/>
        </w:rPr>
        <w:t>项目的实际运营中，投标人是网络安全第一责任人，为了减少、预防和消除网络攻击的危害，将危险、有害因素控制在安全范围内，需充分考虑配备必要的装置(设备)和采取的设备</w:t>
      </w:r>
      <w:r>
        <w:rPr>
          <w:rFonts w:asciiTheme="minorEastAsia" w:hAnsiTheme="minorEastAsia" w:cstheme="minorEastAsia"/>
          <w:b/>
          <w:bCs/>
          <w:color w:val="auto"/>
          <w:sz w:val="24"/>
          <w:szCs w:val="24"/>
          <w:shd w:val="clear" w:color="auto" w:fill="auto"/>
          <w:lang w:eastAsia="zh-CN"/>
        </w:rPr>
        <w:t>。</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cstheme="minorEastAsia"/>
          <w:b/>
          <w:bCs/>
          <w:color w:val="auto"/>
          <w:sz w:val="24"/>
          <w:szCs w:val="24"/>
          <w:lang w:val="en-US" w:eastAsia="zh-CN"/>
        </w:rPr>
        <w:t>【评审项9】投标人须</w:t>
      </w:r>
      <w:r>
        <w:rPr>
          <w:rFonts w:hint="eastAsia" w:asciiTheme="minorEastAsia" w:hAnsiTheme="minorEastAsia" w:eastAsiaTheme="minorEastAsia" w:cstheme="minorEastAsia"/>
          <w:b/>
          <w:bCs/>
          <w:color w:val="auto"/>
          <w:sz w:val="24"/>
          <w:szCs w:val="24"/>
          <w:lang w:val="en-US" w:eastAsia="zh-CN"/>
        </w:rPr>
        <w:t>严格按照</w:t>
      </w:r>
      <w:r>
        <w:rPr>
          <w:rFonts w:hint="eastAsia" w:asciiTheme="minorEastAsia" w:hAnsiTheme="minorEastAsia" w:cstheme="minorEastAsia"/>
          <w:b/>
          <w:bCs/>
          <w:color w:val="auto"/>
          <w:sz w:val="24"/>
          <w:szCs w:val="24"/>
          <w:lang w:val="en-US" w:eastAsia="zh-CN"/>
        </w:rPr>
        <w:t>《信息安全技术 网络安全等级保护基本要求》（GB/T 22239-2019）要求，</w:t>
      </w:r>
      <w:r>
        <w:rPr>
          <w:rFonts w:hint="eastAsia" w:asciiTheme="minorEastAsia" w:hAnsiTheme="minorEastAsia" w:eastAsiaTheme="minorEastAsia" w:cstheme="minorEastAsia"/>
          <w:b/>
          <w:bCs/>
          <w:color w:val="auto"/>
          <w:sz w:val="24"/>
          <w:szCs w:val="24"/>
          <w:lang w:val="en-US" w:eastAsia="zh-CN"/>
        </w:rPr>
        <w:t>整体系统</w:t>
      </w:r>
      <w:r>
        <w:rPr>
          <w:rFonts w:hint="eastAsia" w:asciiTheme="minorEastAsia" w:hAnsiTheme="minorEastAsia" w:cstheme="minorEastAsia"/>
          <w:b/>
          <w:bCs/>
          <w:color w:val="auto"/>
          <w:sz w:val="24"/>
          <w:szCs w:val="24"/>
          <w:lang w:val="en-US" w:eastAsia="zh-CN"/>
        </w:rPr>
        <w:t>须</w:t>
      </w:r>
      <w:r>
        <w:rPr>
          <w:rFonts w:hint="eastAsia" w:asciiTheme="minorEastAsia" w:hAnsiTheme="minorEastAsia" w:eastAsiaTheme="minorEastAsia" w:cstheme="minorEastAsia"/>
          <w:b/>
          <w:bCs/>
          <w:color w:val="auto"/>
          <w:sz w:val="24"/>
          <w:szCs w:val="24"/>
          <w:lang w:val="en-US" w:eastAsia="zh-CN"/>
        </w:rPr>
        <w:t>通过信息安全测评机构等保测评</w:t>
      </w:r>
      <w:r>
        <w:rPr>
          <w:rFonts w:hint="eastAsia" w:asciiTheme="minorEastAsia" w:hAnsiTheme="minorEastAsia" w:cstheme="minorEastAsia"/>
          <w:b/>
          <w:bCs/>
          <w:color w:val="auto"/>
          <w:sz w:val="24"/>
          <w:szCs w:val="24"/>
          <w:lang w:val="en-US" w:eastAsia="zh-CN"/>
        </w:rPr>
        <w:t>工作</w:t>
      </w:r>
      <w:r>
        <w:rPr>
          <w:rFonts w:hint="eastAsia" w:asciiTheme="minorEastAsia" w:hAnsiTheme="minorEastAsia" w:eastAsiaTheme="minorEastAsia" w:cstheme="minorEastAsia"/>
          <w:b/>
          <w:bCs/>
          <w:color w:val="auto"/>
          <w:sz w:val="24"/>
          <w:szCs w:val="24"/>
          <w:lang w:val="en-US" w:eastAsia="zh-CN"/>
        </w:rPr>
        <w:t>的测评，</w:t>
      </w:r>
      <w:r>
        <w:rPr>
          <w:rFonts w:hint="eastAsia" w:asciiTheme="minorEastAsia" w:hAnsiTheme="minorEastAsia" w:cstheme="minorEastAsia"/>
          <w:b/>
          <w:bCs/>
          <w:color w:val="auto"/>
          <w:sz w:val="24"/>
          <w:szCs w:val="24"/>
          <w:lang w:val="en-US" w:eastAsia="zh-CN"/>
        </w:rPr>
        <w:t>且</w:t>
      </w:r>
      <w:r>
        <w:rPr>
          <w:rFonts w:hint="eastAsia" w:asciiTheme="minorEastAsia" w:hAnsiTheme="minorEastAsia" w:eastAsiaTheme="minorEastAsia" w:cstheme="minorEastAsia"/>
          <w:b/>
          <w:bCs/>
          <w:color w:val="auto"/>
          <w:sz w:val="24"/>
          <w:szCs w:val="24"/>
          <w:lang w:val="en-US" w:eastAsia="zh-CN"/>
        </w:rPr>
        <w:t>出具一份三级等保报告。</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asciiTheme="minorEastAsia" w:hAnsiTheme="minorEastAsia" w:cstheme="minorEastAsia"/>
          <w:b/>
          <w:bCs/>
          <w:color w:val="auto"/>
          <w:spacing w:val="0"/>
          <w:sz w:val="24"/>
          <w:szCs w:val="24"/>
          <w:lang w:eastAsia="zh-CN"/>
        </w:rPr>
      </w:pPr>
      <w:r>
        <w:rPr>
          <w:rFonts w:hint="eastAsia" w:asciiTheme="minorEastAsia" w:hAnsiTheme="minorEastAsia" w:cstheme="minorEastAsia"/>
          <w:b/>
          <w:bCs/>
          <w:color w:val="auto"/>
          <w:sz w:val="24"/>
          <w:szCs w:val="24"/>
          <w:lang w:val="en-US" w:eastAsia="zh-CN"/>
        </w:rPr>
        <w:t>【评审项10】</w:t>
      </w:r>
      <w:r>
        <w:rPr>
          <w:rFonts w:asciiTheme="minorEastAsia" w:hAnsiTheme="minorEastAsia" w:cstheme="minorEastAsia"/>
          <w:b/>
          <w:bCs/>
          <w:color w:val="auto"/>
          <w:spacing w:val="0"/>
          <w:sz w:val="24"/>
          <w:szCs w:val="24"/>
          <w:lang w:eastAsia="zh-CN"/>
        </w:rPr>
        <w:t>宣教大屏播出内容涵盖防灾减灾政策解读、台风暴雨防御指引、火灾逃生技能等系列科普视频及公益宣传片，应急广播同步配合播发预警信息和避险提醒。</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cstheme="minorEastAsia"/>
          <w:b/>
          <w:bCs/>
          <w:color w:val="auto"/>
          <w:spacing w:val="0"/>
          <w:sz w:val="24"/>
          <w:szCs w:val="24"/>
          <w:lang w:val="en-US" w:eastAsia="zh-CN"/>
        </w:rPr>
      </w:pPr>
      <w:r>
        <w:rPr>
          <w:rFonts w:hint="eastAsia" w:asciiTheme="minorEastAsia" w:hAnsiTheme="minorEastAsia" w:cstheme="minorEastAsia"/>
          <w:b/>
          <w:bCs/>
          <w:color w:val="auto"/>
          <w:sz w:val="24"/>
          <w:szCs w:val="24"/>
          <w:lang w:val="en-US" w:eastAsia="zh-CN"/>
        </w:rPr>
        <w:t>【评审项11】</w:t>
      </w:r>
      <w:r>
        <w:rPr>
          <w:rFonts w:hint="eastAsia" w:asciiTheme="minorEastAsia" w:hAnsiTheme="minorEastAsia" w:cstheme="minorEastAsia"/>
          <w:b/>
          <w:bCs/>
          <w:color w:val="auto"/>
          <w:spacing w:val="0"/>
          <w:sz w:val="24"/>
          <w:szCs w:val="24"/>
          <w:lang w:val="en-US" w:eastAsia="zh-CN"/>
        </w:rPr>
        <w:t>对大屏播控设备、应急广播终端定期开展设备巡检、故障维修，确保设备正常运行。</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cstheme="minorEastAsia"/>
          <w:b/>
          <w:bCs/>
          <w:color w:val="auto"/>
          <w:spacing w:val="0"/>
          <w:sz w:val="24"/>
          <w:szCs w:val="24"/>
          <w:lang w:val="en-US" w:eastAsia="zh-CN"/>
        </w:rPr>
      </w:pPr>
      <w:r>
        <w:rPr>
          <w:rFonts w:hint="eastAsia" w:asciiTheme="minorEastAsia" w:hAnsiTheme="minorEastAsia" w:cstheme="minorEastAsia"/>
          <w:b/>
          <w:bCs/>
          <w:color w:val="auto"/>
          <w:sz w:val="24"/>
          <w:szCs w:val="24"/>
          <w:lang w:val="en-US" w:eastAsia="zh-CN"/>
        </w:rPr>
        <w:t>【评审项12】</w:t>
      </w:r>
      <w:r>
        <w:rPr>
          <w:rFonts w:hint="eastAsia" w:asciiTheme="minorEastAsia" w:hAnsiTheme="minorEastAsia" w:cstheme="minorEastAsia"/>
          <w:b/>
          <w:bCs/>
          <w:color w:val="auto"/>
          <w:spacing w:val="0"/>
          <w:sz w:val="24"/>
          <w:szCs w:val="24"/>
          <w:lang w:val="en-US" w:eastAsia="zh-CN"/>
        </w:rPr>
        <w:t>制定分时分类播出计划，保障安全应急内容播出，严格落实内容播出审核制度，杜绝违规内容播出。</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cstheme="minorEastAsia"/>
          <w:b/>
          <w:bCs/>
          <w:color w:val="auto"/>
          <w:sz w:val="24"/>
          <w:szCs w:val="24"/>
          <w:lang w:val="en-US" w:eastAsia="zh-CN"/>
        </w:rPr>
      </w:pPr>
      <w:r>
        <w:rPr>
          <w:rFonts w:hint="eastAsia" w:asciiTheme="minorEastAsia" w:hAnsiTheme="minorEastAsia" w:cstheme="minorEastAsia"/>
          <w:b/>
          <w:bCs/>
          <w:color w:val="auto"/>
          <w:sz w:val="24"/>
          <w:szCs w:val="24"/>
          <w:lang w:val="en-US" w:eastAsia="zh-CN"/>
        </w:rPr>
        <w:t>【评审项13】</w:t>
      </w:r>
      <w:r>
        <w:rPr>
          <w:rFonts w:asciiTheme="minorEastAsia" w:hAnsiTheme="minorEastAsia" w:cstheme="minorEastAsia"/>
          <w:b/>
          <w:bCs/>
          <w:color w:val="auto"/>
          <w:sz w:val="24"/>
          <w:szCs w:val="24"/>
          <w:lang w:eastAsia="zh-CN"/>
        </w:rPr>
        <w:t>具备覆盖全省的宣教终端运维服务网络，能够保障大屏、广播设备稳定运行与信号持续传输，故障响应及时，具备设备定期巡检、备件储备与快速修复能</w:t>
      </w:r>
      <w:r>
        <w:rPr>
          <w:rFonts w:asciiTheme="minorEastAsia" w:hAnsiTheme="minorEastAsia" w:cstheme="minorEastAsia"/>
          <w:b/>
          <w:bCs/>
          <w:color w:val="auto"/>
          <w:spacing w:val="0"/>
          <w:sz w:val="24"/>
          <w:szCs w:val="24"/>
          <w:lang w:eastAsia="zh-CN"/>
        </w:rPr>
        <w:t>力。</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default" w:asciiTheme="minorEastAsia" w:hAnsiTheme="minorEastAsia" w:eastAsiaTheme="minorEastAsia" w:cstheme="minorEastAsia"/>
          <w:b/>
          <w:bCs/>
          <w:color w:val="auto"/>
          <w:sz w:val="24"/>
          <w:szCs w:val="24"/>
          <w:lang w:val="en-US" w:eastAsia="zh-CN"/>
        </w:rPr>
      </w:pPr>
      <w:r>
        <w:rPr>
          <w:rFonts w:hint="eastAsia" w:asciiTheme="minorEastAsia" w:hAnsiTheme="minorEastAsia" w:cstheme="minorEastAsia"/>
          <w:b/>
          <w:bCs/>
          <w:color w:val="auto"/>
          <w:sz w:val="24"/>
          <w:szCs w:val="24"/>
          <w:lang w:val="en-US" w:eastAsia="zh-CN"/>
        </w:rPr>
        <w:t>【评审项14】投标人须</w:t>
      </w:r>
      <w:r>
        <w:rPr>
          <w:rFonts w:hint="eastAsia" w:asciiTheme="minorEastAsia" w:hAnsiTheme="minorEastAsia" w:cstheme="minorEastAsia"/>
          <w:b/>
          <w:bCs/>
          <w:color w:val="auto"/>
          <w:sz w:val="24"/>
          <w:szCs w:val="24"/>
          <w:highlight w:val="none"/>
          <w:lang w:val="en-US" w:eastAsia="zh-CN"/>
        </w:rPr>
        <w:t>根据采购人针对不同时间节点和对象，开展的各类主题活动进排播。</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cstheme="minorEastAsia"/>
          <w:b/>
          <w:bCs/>
          <w:color w:val="auto"/>
          <w:sz w:val="24"/>
          <w:szCs w:val="24"/>
          <w:lang w:val="en-US" w:eastAsia="zh-CN"/>
        </w:rPr>
        <w:t>【评审项15】</w:t>
      </w:r>
      <w:r>
        <w:rPr>
          <w:rFonts w:hint="eastAsia" w:asciiTheme="minorEastAsia" w:hAnsiTheme="minorEastAsia" w:cstheme="minorEastAsia"/>
          <w:b/>
          <w:bCs/>
          <w:color w:val="auto"/>
          <w:sz w:val="24"/>
          <w:szCs w:val="24"/>
          <w:highlight w:val="none"/>
          <w:lang w:val="en-US" w:eastAsia="zh-CN"/>
        </w:rPr>
        <w:t>服务</w:t>
      </w:r>
      <w:r>
        <w:rPr>
          <w:rFonts w:hint="eastAsia" w:asciiTheme="minorEastAsia" w:hAnsiTheme="minorEastAsia" w:eastAsiaTheme="minorEastAsia" w:cstheme="minorEastAsia"/>
          <w:b/>
          <w:bCs/>
          <w:color w:val="auto"/>
          <w:sz w:val="24"/>
          <w:szCs w:val="24"/>
          <w:highlight w:val="none"/>
          <w:lang w:val="en-US" w:eastAsia="zh-CN"/>
        </w:rPr>
        <w:t>期间，采购人有权进行抽检，</w:t>
      </w:r>
      <w:r>
        <w:rPr>
          <w:rFonts w:hint="eastAsia" w:asciiTheme="minorEastAsia" w:hAnsiTheme="minorEastAsia" w:cstheme="minorEastAsia"/>
          <w:b/>
          <w:bCs/>
          <w:color w:val="auto"/>
          <w:sz w:val="24"/>
          <w:szCs w:val="24"/>
          <w:highlight w:val="none"/>
          <w:lang w:val="en-US" w:eastAsia="zh-CN"/>
        </w:rPr>
        <w:t>投标人</w:t>
      </w:r>
      <w:r>
        <w:rPr>
          <w:rFonts w:hint="eastAsia" w:asciiTheme="minorEastAsia" w:hAnsiTheme="minorEastAsia" w:eastAsiaTheme="minorEastAsia" w:cstheme="minorEastAsia"/>
          <w:b/>
          <w:bCs/>
          <w:color w:val="auto"/>
          <w:sz w:val="24"/>
          <w:szCs w:val="24"/>
          <w:highlight w:val="none"/>
          <w:lang w:val="en-US" w:eastAsia="zh-CN"/>
        </w:rPr>
        <w:t>须提供第三方数据监测情况。如有漏播、播放</w:t>
      </w:r>
      <w:r>
        <w:rPr>
          <w:rFonts w:hint="eastAsia" w:asciiTheme="minorEastAsia" w:hAnsiTheme="minorEastAsia" w:cstheme="minorEastAsia"/>
          <w:b/>
          <w:bCs/>
          <w:color w:val="auto"/>
          <w:sz w:val="24"/>
          <w:szCs w:val="24"/>
          <w:highlight w:val="none"/>
          <w:lang w:val="en-US" w:eastAsia="zh-CN"/>
        </w:rPr>
        <w:t>时间或次数</w:t>
      </w:r>
      <w:r>
        <w:rPr>
          <w:rFonts w:hint="eastAsia" w:asciiTheme="minorEastAsia" w:hAnsiTheme="minorEastAsia" w:eastAsiaTheme="minorEastAsia" w:cstheme="minorEastAsia"/>
          <w:b/>
          <w:bCs/>
          <w:color w:val="auto"/>
          <w:sz w:val="24"/>
          <w:szCs w:val="24"/>
          <w:highlight w:val="none"/>
          <w:lang w:val="en-US" w:eastAsia="zh-CN"/>
        </w:rPr>
        <w:t>不符的情况，须按“缺一补一”原则补上。</w:t>
      </w:r>
      <w:r>
        <w:rPr>
          <w:rFonts w:hint="eastAsia" w:asciiTheme="minorEastAsia" w:hAnsiTheme="minorEastAsia" w:cstheme="minorEastAsia"/>
          <w:b/>
          <w:bCs/>
          <w:color w:val="auto"/>
          <w:sz w:val="24"/>
          <w:szCs w:val="24"/>
          <w:highlight w:val="none"/>
          <w:lang w:val="en-US" w:eastAsia="zh-CN"/>
        </w:rPr>
        <w:t>若未补齐，则按合同约定条款扣除违约金。</w:t>
      </w:r>
    </w:p>
    <w:p>
      <w:pPr>
        <w:pStyle w:val="7"/>
        <w:keepNext w:val="0"/>
        <w:keepLines w:val="0"/>
        <w:pageBreakBefore w:val="0"/>
        <w:widowControl/>
        <w:kinsoku/>
        <w:wordWrap/>
        <w:overflowPunct/>
        <w:topLinePunct w:val="0"/>
        <w:autoSpaceDE/>
        <w:autoSpaceDN/>
        <w:bidi w:val="0"/>
        <w:adjustRightInd/>
        <w:snapToGrid/>
        <w:spacing w:line="360" w:lineRule="auto"/>
        <w:ind w:firstLine="481" w:firstLineChars="20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cstheme="minorEastAsia"/>
          <w:b/>
          <w:bCs/>
          <w:color w:val="auto"/>
          <w:sz w:val="24"/>
          <w:szCs w:val="24"/>
          <w:lang w:val="en-US" w:eastAsia="zh-CN"/>
        </w:rPr>
        <w:t>其他服务要求：</w:t>
      </w:r>
      <w:r>
        <w:rPr>
          <w:rFonts w:hint="eastAsia" w:asciiTheme="minorEastAsia" w:hAnsiTheme="minorEastAsia" w:eastAsiaTheme="minorEastAsia" w:cstheme="minorEastAsia"/>
          <w:b/>
          <w:bCs/>
          <w:color w:val="auto"/>
          <w:sz w:val="24"/>
          <w:szCs w:val="24"/>
          <w:highlight w:val="none"/>
          <w:lang w:val="en-US" w:eastAsia="zh-CN"/>
        </w:rPr>
        <w:t>本次服务内容涉及到对接采购人现有安全宣教联播联控系统，为确保系统功能的合规性与可靠性，</w:t>
      </w:r>
      <w:r>
        <w:rPr>
          <w:rFonts w:hint="eastAsia" w:asciiTheme="minorEastAsia" w:hAnsiTheme="minorEastAsia" w:cstheme="minorEastAsia"/>
          <w:b/>
          <w:bCs/>
          <w:color w:val="auto"/>
          <w:sz w:val="24"/>
          <w:szCs w:val="24"/>
          <w:highlight w:val="none"/>
          <w:lang w:val="en-US" w:eastAsia="zh-CN"/>
        </w:rPr>
        <w:t>投标人须</w:t>
      </w:r>
      <w:r>
        <w:rPr>
          <w:rFonts w:hint="eastAsia" w:asciiTheme="minorEastAsia" w:hAnsiTheme="minorEastAsia" w:eastAsiaTheme="minorEastAsia" w:cstheme="minorEastAsia"/>
          <w:b/>
          <w:bCs/>
          <w:color w:val="auto"/>
          <w:sz w:val="24"/>
          <w:szCs w:val="24"/>
          <w:highlight w:val="none"/>
          <w:lang w:val="en-US" w:eastAsia="zh-CN"/>
        </w:rPr>
        <w:t>承诺报价包含对接、调试、升级及相关改造费用，确保与现有系统对接成功。若中标后无法对接系统，因此造成的损失由</w:t>
      </w:r>
      <w:r>
        <w:rPr>
          <w:rFonts w:hint="eastAsia" w:asciiTheme="minorEastAsia" w:hAnsiTheme="minorEastAsia" w:cstheme="minorEastAsia"/>
          <w:b/>
          <w:bCs/>
          <w:color w:val="auto"/>
          <w:sz w:val="24"/>
          <w:szCs w:val="24"/>
          <w:highlight w:val="none"/>
          <w:lang w:val="en-US" w:eastAsia="zh-CN"/>
        </w:rPr>
        <w:t>投标人自行</w:t>
      </w:r>
      <w:r>
        <w:rPr>
          <w:rFonts w:hint="eastAsia" w:asciiTheme="minorEastAsia" w:hAnsiTheme="minorEastAsia" w:eastAsiaTheme="minorEastAsia" w:cstheme="minorEastAsia"/>
          <w:b/>
          <w:bCs/>
          <w:color w:val="auto"/>
          <w:sz w:val="24"/>
          <w:szCs w:val="24"/>
          <w:highlight w:val="none"/>
          <w:lang w:val="en-US" w:eastAsia="zh-CN"/>
        </w:rPr>
        <w:t>承担。（</w:t>
      </w:r>
      <w:r>
        <w:rPr>
          <w:rFonts w:hint="eastAsia" w:asciiTheme="minorEastAsia" w:hAnsiTheme="minorEastAsia" w:cstheme="minorEastAsia"/>
          <w:b/>
          <w:bCs/>
          <w:color w:val="auto"/>
          <w:sz w:val="24"/>
          <w:szCs w:val="24"/>
          <w:highlight w:val="none"/>
          <w:lang w:val="en-US" w:eastAsia="zh-CN"/>
        </w:rPr>
        <w:t>投标人须</w:t>
      </w:r>
      <w:r>
        <w:rPr>
          <w:rFonts w:hint="eastAsia" w:asciiTheme="minorEastAsia" w:hAnsiTheme="minorEastAsia" w:eastAsiaTheme="minorEastAsia" w:cstheme="minorEastAsia"/>
          <w:b/>
          <w:bCs/>
          <w:color w:val="auto"/>
          <w:sz w:val="24"/>
          <w:szCs w:val="24"/>
          <w:highlight w:val="none"/>
          <w:lang w:val="en-US" w:eastAsia="zh-CN"/>
        </w:rPr>
        <w:t>提供专项承诺函</w:t>
      </w:r>
      <w:r>
        <w:rPr>
          <w:rFonts w:hint="eastAsia" w:asciiTheme="minorEastAsia" w:hAnsiTheme="minorEastAsia" w:cstheme="minorEastAsia"/>
          <w:b/>
          <w:bCs/>
          <w:color w:val="auto"/>
          <w:sz w:val="24"/>
          <w:szCs w:val="24"/>
          <w:highlight w:val="none"/>
          <w:lang w:val="en-US" w:eastAsia="zh-CN"/>
        </w:rPr>
        <w:t>，承诺函格式自拟</w:t>
      </w:r>
      <w:r>
        <w:rPr>
          <w:rFonts w:hint="eastAsia" w:asciiTheme="minorEastAsia" w:hAnsiTheme="minorEastAsia" w:eastAsiaTheme="minorEastAsia" w:cstheme="minorEastAsia"/>
          <w:b/>
          <w:bCs/>
          <w:color w:val="auto"/>
          <w:sz w:val="24"/>
          <w:szCs w:val="24"/>
          <w:highlight w:val="none"/>
          <w:lang w:val="en-US" w:eastAsia="zh-CN"/>
        </w:rPr>
        <w:t>）</w:t>
      </w:r>
    </w:p>
    <w:p>
      <w:pPr>
        <w:pStyle w:val="7"/>
        <w:jc w:val="both"/>
        <w:outlineLvl w:val="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28"/>
          <w:szCs w:val="28"/>
        </w:rPr>
        <w:t>三、商务要求（以“★”标示的内容为不允许负偏离的实质性要求）</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5"/>
        <w:tblW w:w="962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4"/>
        <w:gridCol w:w="1231"/>
        <w:gridCol w:w="1518"/>
        <w:gridCol w:w="612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4"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1231"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参数性质</w:t>
            </w:r>
          </w:p>
        </w:tc>
        <w:tc>
          <w:tcPr>
            <w:tcW w:w="1518"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类型</w:t>
            </w:r>
          </w:p>
        </w:tc>
        <w:tc>
          <w:tcPr>
            <w:tcW w:w="6125" w:type="dxa"/>
            <w:vAlign w:val="center"/>
          </w:tcPr>
          <w:p>
            <w:pPr>
              <w:pStyle w:val="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4" w:type="dxa"/>
            <w:vAlign w:val="center"/>
          </w:tcPr>
          <w:p>
            <w:pPr>
              <w:pStyle w:val="7"/>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1231" w:type="dxa"/>
            <w:vAlign w:val="center"/>
          </w:tcPr>
          <w:p>
            <w:pPr>
              <w:pStyle w:val="7"/>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c>
          <w:tcPr>
            <w:tcW w:w="1518" w:type="dxa"/>
            <w:vAlign w:val="center"/>
          </w:tcPr>
          <w:p>
            <w:pPr>
              <w:pStyle w:val="7"/>
              <w:jc w:val="center"/>
              <w:rPr>
                <w:rFonts w:hint="eastAsia" w:asciiTheme="minorEastAsia" w:hAnsiTheme="minorEastAsia" w:cstheme="minorEastAsia"/>
                <w:b/>
                <w:bCs/>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交货时间</w:t>
            </w:r>
          </w:p>
        </w:tc>
        <w:tc>
          <w:tcPr>
            <w:tcW w:w="6125" w:type="dxa"/>
          </w:tcPr>
          <w:p>
            <w:pPr>
              <w:pStyle w:val="7"/>
              <w:jc w:val="left"/>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cstheme="minorEastAsia"/>
                <w:b/>
                <w:bCs/>
                <w:color w:val="auto"/>
                <w:sz w:val="24"/>
                <w:szCs w:val="24"/>
                <w:highlight w:val="none"/>
                <w:lang w:val="en-US" w:eastAsia="zh-CN"/>
              </w:rPr>
              <w:t>2022年宣教大屏和应急广播为2027年5月1日至2028年4月30日；2023年宣教大屏和应急广播为2027年1月1日至2027年12月31日</w:t>
            </w:r>
            <w:r>
              <w:rPr>
                <w:rFonts w:hint="eastAsia" w:asciiTheme="minorEastAsia" w:hAnsi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根据</w:t>
            </w:r>
            <w:r>
              <w:rPr>
                <w:rFonts w:hint="eastAsia" w:asciiTheme="minorEastAsia" w:hAnsiTheme="minorEastAsia" w:cstheme="minorEastAsia"/>
                <w:color w:val="auto"/>
                <w:sz w:val="24"/>
                <w:szCs w:val="24"/>
                <w:highlight w:val="none"/>
                <w:lang w:val="en-US" w:eastAsia="zh-CN"/>
              </w:rPr>
              <w:t>采购人</w:t>
            </w:r>
            <w:r>
              <w:rPr>
                <w:rFonts w:hint="eastAsia" w:asciiTheme="minorEastAsia" w:hAnsiTheme="minorEastAsia" w:eastAsiaTheme="minorEastAsia" w:cstheme="minorEastAsia"/>
                <w:color w:val="auto"/>
                <w:sz w:val="24"/>
                <w:szCs w:val="24"/>
                <w:highlight w:val="none"/>
                <w:lang w:val="en-US" w:eastAsia="zh-CN"/>
              </w:rPr>
              <w:t>播放需求确定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4" w:type="dxa"/>
            <w:vAlign w:val="center"/>
          </w:tcPr>
          <w:p>
            <w:pPr>
              <w:pStyle w:val="7"/>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1231" w:type="dxa"/>
            <w:vAlign w:val="center"/>
          </w:tcPr>
          <w:p>
            <w:pPr>
              <w:pStyle w:val="7"/>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c>
          <w:tcPr>
            <w:tcW w:w="1518" w:type="dxa"/>
            <w:vAlign w:val="center"/>
          </w:tcPr>
          <w:p>
            <w:pPr>
              <w:pStyle w:val="7"/>
              <w:jc w:val="center"/>
              <w:rPr>
                <w:rFonts w:hint="eastAsia" w:asciiTheme="minorEastAsia" w:hAnsiTheme="minorEastAsia" w:cstheme="minorEastAsia"/>
                <w:b/>
                <w:bCs/>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交货地点</w:t>
            </w:r>
          </w:p>
        </w:tc>
        <w:tc>
          <w:tcPr>
            <w:tcW w:w="6125" w:type="dxa"/>
            <w:vAlign w:val="center"/>
          </w:tcPr>
          <w:p>
            <w:pPr>
              <w:pStyle w:val="7"/>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采购人指定地点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754" w:type="dxa"/>
            <w:vAlign w:val="center"/>
          </w:tcPr>
          <w:p>
            <w:pPr>
              <w:pStyle w:val="7"/>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1231" w:type="dxa"/>
            <w:vAlign w:val="center"/>
          </w:tcPr>
          <w:p>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c>
          <w:tcPr>
            <w:tcW w:w="1518" w:type="dxa"/>
            <w:vAlign w:val="center"/>
          </w:tcPr>
          <w:p>
            <w:pPr>
              <w:pStyle w:val="7"/>
              <w:jc w:val="center"/>
              <w:rPr>
                <w:rFonts w:hint="eastAsia" w:asciiTheme="minorEastAsia" w:hAnsiTheme="minorEastAsia" w:cstheme="minorEastAsia"/>
                <w:b/>
                <w:bCs/>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交货条件</w:t>
            </w:r>
          </w:p>
        </w:tc>
        <w:tc>
          <w:tcPr>
            <w:tcW w:w="6125" w:type="dxa"/>
          </w:tcPr>
          <w:p>
            <w:pPr>
              <w:pStyle w:val="7"/>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按招标文件、投标文件、采购合同及国家相关法律法规行业标准提供服务且验收合格。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4" w:type="dxa"/>
            <w:vAlign w:val="center"/>
          </w:tcPr>
          <w:p>
            <w:pPr>
              <w:pStyle w:val="7"/>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p>
        </w:tc>
        <w:tc>
          <w:tcPr>
            <w:tcW w:w="1231" w:type="dxa"/>
            <w:vAlign w:val="center"/>
          </w:tcPr>
          <w:p>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c>
          <w:tcPr>
            <w:tcW w:w="1518" w:type="dxa"/>
            <w:vAlign w:val="center"/>
          </w:tcPr>
          <w:p>
            <w:pPr>
              <w:pStyle w:val="7"/>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是否邀请投标人验收</w:t>
            </w:r>
          </w:p>
        </w:tc>
        <w:tc>
          <w:tcPr>
            <w:tcW w:w="6125" w:type="dxa"/>
            <w:vAlign w:val="center"/>
          </w:tcPr>
          <w:p>
            <w:pPr>
              <w:pStyle w:val="7"/>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4" w:type="dxa"/>
            <w:vAlign w:val="center"/>
          </w:tcPr>
          <w:p>
            <w:pPr>
              <w:pStyle w:val="7"/>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p>
        </w:tc>
        <w:tc>
          <w:tcPr>
            <w:tcW w:w="1231" w:type="dxa"/>
            <w:vAlign w:val="center"/>
          </w:tcPr>
          <w:p>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c>
          <w:tcPr>
            <w:tcW w:w="1518" w:type="dxa"/>
            <w:vAlign w:val="center"/>
          </w:tcPr>
          <w:p>
            <w:pPr>
              <w:pStyle w:val="7"/>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履约验收方式</w:t>
            </w:r>
          </w:p>
        </w:tc>
        <w:tc>
          <w:tcPr>
            <w:tcW w:w="6125" w:type="dxa"/>
          </w:tcPr>
          <w:p>
            <w:pPr>
              <w:pStyle w:val="7"/>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履约验收方式</w:t>
            </w:r>
            <w:r>
              <w:rPr>
                <w:rFonts w:hint="eastAsia" w:asciiTheme="minorEastAsia" w:hAnsiTheme="minorEastAsia" w:eastAsiaTheme="minorEastAsia" w:cstheme="minorEastAsia"/>
                <w:color w:val="auto"/>
                <w:sz w:val="24"/>
                <w:szCs w:val="24"/>
                <w:highlight w:val="none"/>
              </w:rPr>
              <w:tab/>
            </w:r>
            <w:r>
              <w:rPr>
                <w:rFonts w:hint="eastAsia" w:asciiTheme="minorEastAsia" w:hAnsiTheme="minorEastAsia" w:eastAsiaTheme="minorEastAsia" w:cstheme="minorEastAsia"/>
                <w:color w:val="auto"/>
                <w:sz w:val="24"/>
                <w:szCs w:val="24"/>
                <w:highlight w:val="none"/>
              </w:rPr>
              <w:t>1、期次1，说明：采购合同签订生效后中标人完成项目50%进度，提供满足招标文件、投标文件、采购合同等约定的项目执行简报等材料，经采购人确认通过；</w:t>
            </w:r>
          </w:p>
          <w:p>
            <w:pPr>
              <w:pStyle w:val="7"/>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期次2，说明：服务期满后，中标人提供验收报告、提交服务成果资料等验收资料，并向采购人申请验收，采购人收到验收申请和验收资料后组织最终验收，符合招标文件、投标文件和采购合同要求的，则验收通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4" w:type="dxa"/>
            <w:vAlign w:val="center"/>
          </w:tcPr>
          <w:p>
            <w:pPr>
              <w:pStyle w:val="7"/>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p>
        </w:tc>
        <w:tc>
          <w:tcPr>
            <w:tcW w:w="1231" w:type="dxa"/>
            <w:vAlign w:val="center"/>
          </w:tcPr>
          <w:p>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c>
          <w:tcPr>
            <w:tcW w:w="1518" w:type="dxa"/>
            <w:vAlign w:val="center"/>
          </w:tcPr>
          <w:p>
            <w:pPr>
              <w:pStyle w:val="7"/>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合同支付方式</w:t>
            </w:r>
          </w:p>
        </w:tc>
        <w:tc>
          <w:tcPr>
            <w:tcW w:w="6125" w:type="dxa"/>
          </w:tcPr>
          <w:p>
            <w:pPr>
              <w:pStyle w:val="7"/>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1、预付款，签订合同后，</w:t>
            </w:r>
            <w:r>
              <w:rPr>
                <w:rFonts w:hint="eastAsia" w:asciiTheme="minorEastAsia" w:hAnsiTheme="minorEastAsia" w:cstheme="minorEastAsia"/>
                <w:color w:val="auto"/>
                <w:sz w:val="24"/>
                <w:szCs w:val="24"/>
                <w:highlight w:val="none"/>
                <w:lang w:eastAsia="zh-CN"/>
              </w:rPr>
              <w:t>且中标人开具相应金额的增值税专用发票</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cstheme="minorEastAsia"/>
                <w:color w:val="auto"/>
                <w:sz w:val="24"/>
                <w:szCs w:val="24"/>
                <w:highlight w:val="none"/>
                <w:lang w:val="en-US" w:eastAsia="zh-CN"/>
              </w:rPr>
              <w:t>达到付款条件起30日后</w:t>
            </w:r>
            <w:r>
              <w:rPr>
                <w:rFonts w:hint="eastAsia" w:asciiTheme="minorEastAsia" w:hAnsiTheme="minorEastAsia" w:eastAsiaTheme="minorEastAsia" w:cstheme="minorEastAsia"/>
                <w:color w:val="auto"/>
                <w:sz w:val="24"/>
                <w:szCs w:val="24"/>
                <w:highlight w:val="none"/>
              </w:rPr>
              <w:t>支付合同总金额的50.00%</w:t>
            </w:r>
          </w:p>
          <w:p>
            <w:pPr>
              <w:pStyle w:val="7"/>
              <w:jc w:val="left"/>
              <w:rPr>
                <w:rFonts w:hint="default" w:asciiTheme="minorEastAsia" w:hAnsi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cstheme="minorEastAsia"/>
                <w:color w:val="auto"/>
                <w:sz w:val="24"/>
                <w:szCs w:val="24"/>
                <w:highlight w:val="none"/>
                <w:lang w:val="en-US" w:eastAsia="zh-CN"/>
              </w:rPr>
              <w:t>进度款</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cstheme="minorEastAsia"/>
                <w:color w:val="auto"/>
                <w:sz w:val="24"/>
                <w:szCs w:val="24"/>
                <w:highlight w:val="none"/>
                <w:lang w:eastAsia="zh-CN"/>
              </w:rPr>
              <w:t>经采购人确认完成本项目</w:t>
            </w:r>
            <w:r>
              <w:rPr>
                <w:rFonts w:hint="eastAsia" w:asciiTheme="minorEastAsia" w:hAnsiTheme="minorEastAsia" w:cstheme="minorEastAsia"/>
                <w:color w:val="auto"/>
                <w:sz w:val="24"/>
                <w:szCs w:val="24"/>
                <w:highlight w:val="none"/>
                <w:lang w:val="en-US" w:eastAsia="zh-CN"/>
              </w:rPr>
              <w:t>50%进度，</w:t>
            </w:r>
            <w:r>
              <w:rPr>
                <w:rFonts w:hint="eastAsia" w:asciiTheme="minorEastAsia" w:hAnsiTheme="minorEastAsia" w:cstheme="minorEastAsia"/>
                <w:color w:val="auto"/>
                <w:sz w:val="24"/>
                <w:szCs w:val="24"/>
                <w:highlight w:val="none"/>
                <w:lang w:eastAsia="zh-CN"/>
              </w:rPr>
              <w:t>且中标人开具相应金额的增值税专用发票，</w:t>
            </w:r>
            <w:r>
              <w:rPr>
                <w:rFonts w:hint="eastAsia" w:asciiTheme="minorEastAsia" w:hAnsiTheme="minorEastAsia" w:cstheme="minorEastAsia"/>
                <w:color w:val="auto"/>
                <w:sz w:val="24"/>
                <w:szCs w:val="24"/>
                <w:highlight w:val="none"/>
                <w:lang w:val="en-US" w:eastAsia="zh-CN"/>
              </w:rPr>
              <w:t>达到付款条件起30日后，支付合同总金额的30.00%</w:t>
            </w:r>
          </w:p>
          <w:p>
            <w:pPr>
              <w:pStyle w:val="7"/>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val="en-US" w:eastAsia="zh-CN"/>
              </w:rPr>
              <w:t>3、进度款，</w:t>
            </w:r>
            <w:r>
              <w:rPr>
                <w:rFonts w:hint="eastAsia" w:asciiTheme="minorEastAsia" w:hAnsiTheme="minorEastAsia" w:eastAsiaTheme="minorEastAsia" w:cstheme="minorEastAsia"/>
                <w:color w:val="auto"/>
                <w:sz w:val="24"/>
                <w:szCs w:val="24"/>
                <w:highlight w:val="none"/>
              </w:rPr>
              <w:t>经采购人验收合格后，</w:t>
            </w:r>
            <w:r>
              <w:rPr>
                <w:rFonts w:hint="eastAsia" w:asciiTheme="minorEastAsia" w:hAnsiTheme="minorEastAsia" w:cstheme="minorEastAsia"/>
                <w:color w:val="auto"/>
                <w:sz w:val="24"/>
                <w:szCs w:val="24"/>
                <w:highlight w:val="none"/>
                <w:lang w:eastAsia="zh-CN"/>
              </w:rPr>
              <w:t>且中标人开具相应金额的增值税专用发票，</w:t>
            </w:r>
            <w:r>
              <w:rPr>
                <w:rFonts w:hint="eastAsia" w:asciiTheme="minorEastAsia" w:hAnsiTheme="minorEastAsia" w:eastAsiaTheme="minorEastAsia" w:cstheme="minorEastAsia"/>
                <w:color w:val="auto"/>
                <w:sz w:val="24"/>
                <w:szCs w:val="24"/>
                <w:highlight w:val="none"/>
              </w:rPr>
              <w:t>达到付款条件起30日</w:t>
            </w:r>
            <w:r>
              <w:rPr>
                <w:rFonts w:hint="eastAsia" w:asciiTheme="minorEastAsia" w:hAnsiTheme="minorEastAsia" w:cstheme="minorEastAsia"/>
                <w:color w:val="auto"/>
                <w:sz w:val="24"/>
                <w:szCs w:val="24"/>
                <w:highlight w:val="none"/>
                <w:lang w:eastAsia="zh-CN"/>
              </w:rPr>
              <w:t>后</w:t>
            </w:r>
            <w:r>
              <w:rPr>
                <w:rFonts w:hint="eastAsia" w:asciiTheme="minorEastAsia" w:hAnsiTheme="minorEastAsia" w:eastAsiaTheme="minorEastAsia" w:cstheme="minorEastAsia"/>
                <w:color w:val="auto"/>
                <w:sz w:val="24"/>
                <w:szCs w:val="24"/>
                <w:highlight w:val="none"/>
              </w:rPr>
              <w:t>，支付合同总金额的</w:t>
            </w:r>
            <w:r>
              <w:rPr>
                <w:rFonts w:hint="eastAsia" w:asciiTheme="minorEastAsia" w:hAnsi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754" w:type="dxa"/>
            <w:vAlign w:val="center"/>
          </w:tcPr>
          <w:p>
            <w:pPr>
              <w:pStyle w:val="7"/>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w:t>
            </w:r>
          </w:p>
        </w:tc>
        <w:tc>
          <w:tcPr>
            <w:tcW w:w="1231" w:type="dxa"/>
            <w:vAlign w:val="center"/>
          </w:tcPr>
          <w:p>
            <w:pPr>
              <w:pStyle w:val="7"/>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c>
          <w:tcPr>
            <w:tcW w:w="1518" w:type="dxa"/>
            <w:vAlign w:val="top"/>
          </w:tcPr>
          <w:p>
            <w:pPr>
              <w:pStyle w:val="7"/>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履约保证金</w:t>
            </w:r>
          </w:p>
        </w:tc>
        <w:tc>
          <w:tcPr>
            <w:tcW w:w="6125" w:type="dxa"/>
            <w:vAlign w:val="top"/>
          </w:tcPr>
          <w:p>
            <w:pPr>
              <w:pStyle w:val="7"/>
              <w:spacing w:line="360" w:lineRule="auto"/>
              <w:ind w:firstLine="0" w:firstLineChars="0"/>
              <w:jc w:val="left"/>
              <w:rPr>
                <w:rFonts w:asciiTheme="minorEastAsia" w:hAnsiTheme="minorEastAsia" w:cstheme="minorEastAsia"/>
                <w:b/>
                <w:bCs/>
                <w:color w:val="auto"/>
                <w:sz w:val="24"/>
                <w:szCs w:val="24"/>
                <w:highlight w:val="none"/>
                <w:lang w:eastAsia="zh-CN"/>
              </w:rPr>
            </w:pPr>
            <w:r>
              <w:rPr>
                <w:rFonts w:asciiTheme="minorEastAsia" w:hAnsiTheme="minorEastAsia" w:eastAsiaTheme="minorEastAsia" w:cstheme="minorEastAsia"/>
                <w:b/>
                <w:bCs/>
                <w:color w:val="auto"/>
                <w:sz w:val="24"/>
                <w:szCs w:val="24"/>
                <w:highlight w:val="none"/>
                <w:lang w:eastAsia="zh-CN"/>
              </w:rPr>
              <w:t>缴纳, 本采购包履约保证金为合同金额的10%</w:t>
            </w:r>
          </w:p>
          <w:p>
            <w:pPr>
              <w:pStyle w:val="7"/>
              <w:spacing w:line="360" w:lineRule="auto"/>
              <w:ind w:firstLine="0" w:firstLineChars="0"/>
              <w:jc w:val="left"/>
              <w:rPr>
                <w:rFonts w:asciiTheme="minorEastAsia" w:hAnsiTheme="minorEastAsia" w:cstheme="minorEastAsia"/>
                <w:b/>
                <w:bCs/>
                <w:color w:val="auto"/>
                <w:sz w:val="24"/>
                <w:szCs w:val="24"/>
                <w:highlight w:val="none"/>
                <w:lang w:eastAsia="zh-CN"/>
              </w:rPr>
            </w:pPr>
            <w:r>
              <w:rPr>
                <w:rFonts w:asciiTheme="minorEastAsia" w:hAnsiTheme="minorEastAsia" w:eastAsiaTheme="minorEastAsia" w:cstheme="minorEastAsia"/>
                <w:b/>
                <w:bCs/>
                <w:color w:val="auto"/>
                <w:sz w:val="24"/>
                <w:szCs w:val="24"/>
                <w:highlight w:val="none"/>
                <w:lang w:eastAsia="zh-CN"/>
              </w:rPr>
              <w:t>缴纳方式：银行转账，支票/汇票/本票，保函/保险</w:t>
            </w:r>
          </w:p>
          <w:p>
            <w:pPr>
              <w:pStyle w:val="7"/>
              <w:spacing w:line="360" w:lineRule="auto"/>
              <w:ind w:firstLine="0" w:firstLineChars="0"/>
              <w:jc w:val="left"/>
              <w:rPr>
                <w:rFonts w:hint="eastAsia" w:asciiTheme="minorEastAsia" w:hAnsiTheme="minorEastAsia" w:eastAsiaTheme="minorEastAsia" w:cstheme="minorEastAsia"/>
                <w:b/>
                <w:bCs/>
                <w:color w:val="auto"/>
                <w:sz w:val="24"/>
                <w:szCs w:val="24"/>
                <w:highlight w:val="none"/>
                <w:lang w:eastAsia="zh-CN"/>
              </w:rPr>
            </w:pPr>
            <w:r>
              <w:rPr>
                <w:rFonts w:asciiTheme="minorEastAsia" w:hAnsiTheme="minorEastAsia" w:eastAsiaTheme="minorEastAsia" w:cstheme="minorEastAsia"/>
                <w:b/>
                <w:bCs/>
                <w:color w:val="auto"/>
                <w:sz w:val="24"/>
                <w:szCs w:val="24"/>
                <w:highlight w:val="none"/>
                <w:lang w:eastAsia="zh-CN"/>
              </w:rPr>
              <w:t>说明：中标人在签订政府采购合同前应向采购人缴纳合同总金额的10%做为履约保证金，以电汇、银行转账、支票、汇票、本票或者金融机构、担保机构出具的见索即付独立保函、电子保函等形式提交。该履约保证金于中标人履行完合同约定权利义务事项后，由中标人书面提出申请后无息退还。注：若本项目中标人为符合财政部、工信部文件（财库〔2020〕46号）规定的中、小、微企业（须提供中小企业声明函），缴纳履约保证金的金额为合同总金额的5%。</w:t>
            </w:r>
          </w:p>
        </w:tc>
      </w:tr>
    </w:tbl>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highlight w:val="none"/>
        </w:rPr>
        <w:t>其他商务要求</w:t>
      </w:r>
    </w:p>
    <w:p>
      <w:pPr>
        <w:pStyle w:val="7"/>
        <w:spacing w:line="360" w:lineRule="auto"/>
        <w:ind w:firstLine="48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w:t>
      </w:r>
      <w:r>
        <w:rPr>
          <w:rFonts w:hint="eastAsia" w:asciiTheme="minorEastAsia" w:hAnsi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违约责任</w:t>
      </w:r>
    </w:p>
    <w:p>
      <w:pPr>
        <w:pStyle w:val="7"/>
        <w:spacing w:line="360" w:lineRule="auto"/>
        <w:ind w:firstLine="48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8.1因中标人原因造成采购合同无法按时签订，视为中标人违约，中标人违约对采购人造成损失的，需另行支付相应的赔偿。</w:t>
      </w:r>
    </w:p>
    <w:p>
      <w:pPr>
        <w:pStyle w:val="7"/>
        <w:spacing w:line="360" w:lineRule="auto"/>
        <w:ind w:firstLine="48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8.2在签订采购合同之后，中标人要求解除合同的，视为中标人违约，对采购人造成损失的，中标人需支付相应的赔偿。</w:t>
      </w:r>
    </w:p>
    <w:p>
      <w:pPr>
        <w:pStyle w:val="7"/>
        <w:spacing w:line="360" w:lineRule="auto"/>
        <w:ind w:firstLine="48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8.3因中标人原因发生重大质量事故，除依约承担赔偿责任外，还将按有关质量管理办法规定执行。同时，采购人有权保留更换中标人的权利，并报相关行政主管部门处罚。</w:t>
      </w:r>
    </w:p>
    <w:p>
      <w:pPr>
        <w:pStyle w:val="7"/>
        <w:spacing w:line="360" w:lineRule="auto"/>
        <w:ind w:firstLine="48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8.4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解除合同，给采购人造成的损失，还应承担赔偿责任。</w:t>
      </w:r>
    </w:p>
    <w:p>
      <w:pPr>
        <w:pStyle w:val="7"/>
        <w:spacing w:line="360" w:lineRule="auto"/>
        <w:ind w:firstLine="48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8.5在明确违约责任后，中标人应在接到书面通知书起七天内支付违约金、赔偿金等。</w:t>
      </w:r>
    </w:p>
    <w:p>
      <w:pPr>
        <w:pStyle w:val="7"/>
        <w:spacing w:line="360" w:lineRule="auto"/>
        <w:ind w:firstLine="48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w:t>
      </w:r>
      <w:r>
        <w:rPr>
          <w:rFonts w:hint="eastAsia" w:asciiTheme="minorEastAsia" w:hAnsi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知识产权</w:t>
      </w:r>
    </w:p>
    <w:p>
      <w:pPr>
        <w:pStyle w:val="7"/>
        <w:spacing w:line="360" w:lineRule="auto"/>
        <w:ind w:firstLine="48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中标人须保障采购人在使用该服务或其任何一部分时不受到第三方关于侵犯著作权、专利权、商标权或工业设计权等知识产权的指控。任何第三方提出的有关侵权指控与采购人无关，中标人须与第三方交涉并承担可能发生的一切责任与费用。如采购人因此而遭致损失的，中标人应赔偿该损失。</w:t>
      </w:r>
    </w:p>
    <w:p>
      <w:pPr>
        <w:pStyle w:val="7"/>
        <w:spacing w:line="360" w:lineRule="auto"/>
        <w:ind w:firstLine="48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cstheme="minorEastAsia"/>
          <w:color w:val="auto"/>
          <w:sz w:val="24"/>
          <w:szCs w:val="24"/>
          <w:highlight w:val="none"/>
          <w:lang w:val="en-US" w:eastAsia="zh-CN"/>
        </w:rPr>
        <w:t>0</w:t>
      </w:r>
      <w:r>
        <w:rPr>
          <w:rFonts w:hint="eastAsia" w:asciiTheme="minorEastAsia" w:hAnsiTheme="minorEastAsia" w:eastAsiaTheme="minorEastAsia" w:cstheme="minorEastAsia"/>
          <w:color w:val="auto"/>
          <w:sz w:val="24"/>
          <w:szCs w:val="24"/>
          <w:highlight w:val="none"/>
        </w:rPr>
        <w:t>、保密条款</w:t>
      </w:r>
    </w:p>
    <w:p>
      <w:pPr>
        <w:pStyle w:val="7"/>
        <w:spacing w:line="360" w:lineRule="auto"/>
        <w:ind w:firstLine="48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cstheme="minorEastAsia"/>
          <w:color w:val="auto"/>
          <w:sz w:val="24"/>
          <w:szCs w:val="24"/>
          <w:highlight w:val="none"/>
          <w:lang w:val="en-US" w:eastAsia="zh-CN"/>
        </w:rPr>
        <w:t>0</w:t>
      </w:r>
      <w:r>
        <w:rPr>
          <w:rFonts w:hint="eastAsia" w:asciiTheme="minorEastAsia" w:hAnsiTheme="minorEastAsia" w:eastAsiaTheme="minorEastAsia" w:cstheme="minorEastAsia"/>
          <w:color w:val="auto"/>
          <w:sz w:val="24"/>
          <w:szCs w:val="24"/>
          <w:highlight w:val="none"/>
        </w:rPr>
        <w:t>.1中标人应对本项目的内容、因履行本项目或在本项目执行期间知悉的或收到的采购人的财务、技术、产品信息或其他工作上的文件资料、工作内容等予以保密，不得向任何第三方披露，严格履行保密义务。</w:t>
      </w:r>
    </w:p>
    <w:p>
      <w:pPr>
        <w:pStyle w:val="7"/>
        <w:spacing w:line="360" w:lineRule="auto"/>
        <w:ind w:firstLine="48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cstheme="minorEastAsia"/>
          <w:color w:val="auto"/>
          <w:sz w:val="24"/>
          <w:szCs w:val="24"/>
          <w:highlight w:val="none"/>
          <w:lang w:val="en-US" w:eastAsia="zh-CN"/>
        </w:rPr>
        <w:t>0</w:t>
      </w:r>
      <w:r>
        <w:rPr>
          <w:rFonts w:hint="eastAsia" w:asciiTheme="minorEastAsia" w:hAnsiTheme="minorEastAsia" w:eastAsiaTheme="minorEastAsia" w:cstheme="minorEastAsia"/>
          <w:color w:val="auto"/>
          <w:sz w:val="24"/>
          <w:szCs w:val="24"/>
          <w:highlight w:val="none"/>
        </w:rPr>
        <w:t>.2中标人违反本条约定泄露采购人的涉密信息的，应承担相应的法律责任，造成采购人损失的，投标人应当依法承担赔偿责任。</w:t>
      </w:r>
    </w:p>
    <w:p>
      <w:pPr>
        <w:pStyle w:val="7"/>
        <w:spacing w:line="360" w:lineRule="auto"/>
        <w:ind w:firstLine="48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cstheme="minorEastAsia"/>
          <w:color w:val="auto"/>
          <w:sz w:val="24"/>
          <w:szCs w:val="24"/>
          <w:highlight w:val="none"/>
          <w:lang w:val="en-US" w:eastAsia="zh-CN"/>
        </w:rPr>
        <w:t>0</w:t>
      </w:r>
      <w:r>
        <w:rPr>
          <w:rFonts w:hint="eastAsia" w:asciiTheme="minorEastAsia" w:hAnsiTheme="minorEastAsia" w:eastAsiaTheme="minorEastAsia" w:cstheme="minorEastAsia"/>
          <w:color w:val="auto"/>
          <w:sz w:val="24"/>
          <w:szCs w:val="24"/>
          <w:highlight w:val="none"/>
        </w:rPr>
        <w:t>.3本条款不因合同届满或解除而失效。</w:t>
      </w:r>
    </w:p>
    <w:p>
      <w:pPr>
        <w:pStyle w:val="7"/>
        <w:spacing w:line="360" w:lineRule="auto"/>
        <w:jc w:val="both"/>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四、其他事项</w:t>
      </w:r>
    </w:p>
    <w:p>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1、除招标文件另有规定外，若出现有关法律、法规和规章有强制性规定但招标文件未列明的情形，则投标人应按照有关法律、法规和规章强制性规定执行。</w:t>
      </w:r>
    </w:p>
    <w:p>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2、其他：</w:t>
      </w:r>
    </w:p>
    <w:p>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本招标文件未明确的其它约定事项或条款，待采购人与中标人签订合同时，由双方协商订立。</w:t>
      </w:r>
    </w:p>
    <w:p>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第六章 政府采购合同</w:t>
      </w:r>
    </w:p>
    <w:p>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参考文本</w:t>
      </w:r>
    </w:p>
    <w:p>
      <w:pPr>
        <w:pStyle w:val="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合同编号：</w:t>
      </w:r>
    </w:p>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福建省政府采购合同（服务类）</w:t>
      </w:r>
    </w:p>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编制说明</w:t>
      </w:r>
      <w:r>
        <w:rPr>
          <w:rFonts w:hint="eastAsia" w:asciiTheme="minorEastAsia" w:hAnsiTheme="minorEastAsia" w:eastAsiaTheme="minorEastAsia" w:cstheme="minorEastAsia"/>
          <w:sz w:val="24"/>
          <w:szCs w:val="24"/>
        </w:rPr>
        <w:br w:type="textWrapping"/>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1.签订合同应遵守《中华人民共和国政府采购法》及其实施条例、《中华人民共和国民法典》等法律法规及其他有关规定。</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2.签订合同时，采购人与中标(成交)人应结合采购文件规定填列相应内容。采购文件已有约定的，双方均不得对约定进行变更或调整；采购文件未作规定的，双方可通过友好协商进行约定。</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3.政府有关主管部门对若干合同有规范文本的，可使用相应合同文本。</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4.本合同范本仅供参考，采购人应当根据采购项目的实际需求对合同条款进行修改、补充。</w:t>
      </w:r>
    </w:p>
    <w:p>
      <w:pPr>
        <w:pStyle w:val="7"/>
        <w:ind w:left="0"/>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住所地：________________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联系人：________________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联系电话：______________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传真：________________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电子邮箱：________________</w:t>
      </w:r>
      <w:r>
        <w:rPr>
          <w:rFonts w:hint="eastAsia" w:asciiTheme="minorEastAsia" w:hAnsiTheme="minorEastAsia" w:eastAsiaTheme="minorEastAsia" w:cstheme="minorEastAsia"/>
          <w:sz w:val="24"/>
          <w:szCs w:val="24"/>
        </w:rPr>
        <w:br w:type="textWrapping"/>
      </w:r>
    </w:p>
    <w:p>
      <w:pPr>
        <w:pStyle w:val="7"/>
        <w:ind w:left="0"/>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乙方： ________________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住所地： ________________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联系人：______________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联系电话：______________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传真：________________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电子邮箱：________________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根据项目编号为___________ 的 __________项目（以下简称：“本项目”）的采购结果，遵循平等、自愿、公平和诚实信用的原则，双方签署本合同，具体内容如下：</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一、合同组成部分</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1.1本合同条款及附件；</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1.2采购文件及其附件、补充文件；</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1.3乙方的响应文件及其附件、补充文件；</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1.4其他文件或材料：</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二、合同标的</w:t>
      </w:r>
      <w:r>
        <w:rPr>
          <w:rFonts w:hint="eastAsia" w:asciiTheme="minorEastAsia" w:hAnsiTheme="minorEastAsia" w:eastAsiaTheme="minorEastAsia" w:cstheme="minorEastAsia"/>
          <w:sz w:val="24"/>
          <w:szCs w:val="24"/>
        </w:rPr>
        <w:br w:type="textWrapping"/>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三、价格形式及合同价款</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3.1价格形式</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固定单价合同。完成约定服务事项的含税合同单价为：人民币（大写）元（￥ _____________元）。</w:t>
      </w:r>
    </w:p>
    <w:p>
      <w:pPr>
        <w:pStyle w:val="7"/>
        <w:spacing w:line="300" w:lineRule="auto"/>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固定总价合同。完成约定服务事项的含税服务费用为：人民币（大写）元（￥_____________ 元）。</w:t>
      </w:r>
    </w:p>
    <w:p>
      <w:pPr>
        <w:pStyle w:val="7"/>
        <w:spacing w:line="300" w:lineRule="auto"/>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其他方式。</w:t>
      </w:r>
    </w:p>
    <w:p>
      <w:pPr>
        <w:pStyle w:val="7"/>
        <w:spacing w:line="300" w:lineRule="auto"/>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3.2合同价款包含范围</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3.3其他需说明的事项：</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四、合同标的及服务范围、地点和时间</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4.1项目名称： _____________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4.2服务范围：_____________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4.3服务地点：_____________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4.4服务完成时间：_____________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五、服务内容、质量标准和要求</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5.1服务工作量的计量方式：_____________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5.2服务内容：_____________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5.3技术保障、服务人员组成、所涉及的货物的质量标准：</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（1）服务技术保障：_____________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（2）服务人员组成：_____________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（3）服务设备及物资投入及质量标准：_____________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5.4服务质量标准及要求：</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5.4.3其他要求：</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六、服务履约验收或考核</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甲方按照采购文件、乙方的投标或响应文件和本协议约定的服务内容及质量要求按次组织对乙方所提供服务进行验收，或定期进行服务考核，并根据验收或考核结果支付服务费用。具体如下：</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七、甲方的权利与义务</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7.1甲方委派___________为联系人，联系方式 ___________，负责与乙方联系。如甲方联系人发生变更，甲方应书面告知乙方。</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7.2甲方应为乙方开展服务工作提供必要的工作条件，以及对内对外沟通和配合协助。</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7.3甲方应于___________之前提供服务所需的全部资料，并对所提供材料真实性、完整性、合法性负责。</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7.5甲方应按本合同约定及时足额支付服务费用及相关费用。</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7.6其他</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八、乙方的权利与义务</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8.1乙方委派___________为联系人，联系方式 ___________，负责与甲方联系。如乙方联系人发生变更，乙方应书面告知甲方</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8.2乙方应国家法律法规和{{乙方的权利与义务-响应要求-福建}}等要求开展{{乙方的权利与义务-开展服务-福建}}服务；</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8.3乙方及其所委派服务人员应按标准或协议约定方式出具服务成果，并对其真实性和合法性负法律责任；</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8.4乙方对执行业务过程中知悉的国家秘密或甲方的商业秘密保密。除非国家法律法规及行业规范另有规定,或经甲方同意,乙方不得将其知悉的商业秘密和甲方提供的资料对外泄露。</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8.5乙方对服务业务应当单独建档，保存完整的工作记录，并对服务过程使用和暂存甲方的文件、材料和财物应当妥善保管。</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8.6服务工作结束后,乙方将根据情况对甲方服务相关的管理制度及其他事项等提出改进意见。</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8.7乙方完全遵守《中华人民共和国劳动合同法》有关规定和《中华人民共和国妇女权益保障法》中关于“劳动和社会保障权益”的有关要求。</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8.8其他</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九、资金支付方式、时间和条件</w:t>
      </w:r>
      <w:r>
        <w:rPr>
          <w:rFonts w:hint="eastAsia" w:asciiTheme="minorEastAsia" w:hAnsiTheme="minorEastAsia" w:eastAsiaTheme="minorEastAsia" w:cstheme="minorEastAsia"/>
          <w:sz w:val="24"/>
          <w:szCs w:val="24"/>
        </w:rPr>
        <w:br w:type="textWrapping"/>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十、履约保证金</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□有，□无。具体如下：（按照采购文件规定填写）。</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10.1乙方向甲方缴纳人民币 / 元作为本合同的履约保证金。</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10.2履约保证金缴纳形式：支票/汇票/电汇/保函等非现金形式。</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10.3履约保证金合同履行完毕前有效，合同履行完毕后一次性结清退还。</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十一、合同期限</w:t>
      </w:r>
      <w:r>
        <w:rPr>
          <w:rFonts w:hint="eastAsia" w:asciiTheme="minorEastAsia" w:hAnsiTheme="minorEastAsia" w:eastAsiaTheme="minorEastAsia" w:cstheme="minorEastAsia"/>
          <w:sz w:val="24"/>
          <w:szCs w:val="24"/>
        </w:rPr>
        <w:br w:type="textWrapping"/>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十二、保密条款</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12.1对于在采购和合同履行过程中所获悉的属于保密的内容，甲、乙双方均负有保密义务。</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12.2其他</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十三、违约责任</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13.1甲方违约责任</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（1）甲方无正当理由拒绝乙方提供合格服务的，甲方应向乙方偿付所拒收合同总价________的违约金</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（2）甲方无故逾期验收和办理合同款项支付手续的,甲方应按逾期付款总额每日________向乙方支付违约金。</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（3）其他违约情形</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13.2乙方违约责任</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（1）乙方逾期履行服务的，乙方应按逾期交付总额每日________向甲方支付违约金，由甲方从待付货款中扣除。乙方无正当理由逾期超过约定日期________仍不能交付的，视为“乙方不按合同约定履约”；</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（2）乙方所履行的服务不符合合同规定及《采购文件》规定标准的，甲方有权拒绝，乙方愿意整改但逾期履行的，按乙方逾期履行处理。乙方拒绝整改的，视为“乙方不按合同约定履约”</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（3）乙方不按合同约定履约的，甲方可以解除采购合同，并对乙方已缴纳的履约保证金作“不予退还”处理。同时，乙方须按以下约定向甲方支付违约金：</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（4）其他违约情形</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十四、不可抗力事件处理</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十五、解决争议的方法</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15.1甲、乙双方协商解决。</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15.2若协商解决不成，双方明确按以下第_种方式解决：</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1、提交仲裁委员会仲裁，具体如下：</w:t>
      </w:r>
    </w:p>
    <w:p>
      <w:pPr>
        <w:pStyle w:val="7"/>
        <w:spacing w:line="300" w:lineRule="auto"/>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2、向______人民法院提起诉讼。</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十六、合同其他条款</w:t>
      </w:r>
      <w:r>
        <w:rPr>
          <w:rFonts w:hint="eastAsia" w:asciiTheme="minorEastAsia" w:hAnsiTheme="minorEastAsia" w:eastAsiaTheme="minorEastAsia" w:cstheme="minorEastAsia"/>
          <w:sz w:val="24"/>
          <w:szCs w:val="24"/>
        </w:rPr>
        <w:br w:type="textWrapping"/>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十七、其他约定</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17.1合同文件与本合同具有同等法律效力。</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17.3本合同未尽事宜，遵照《中华人民共和国民法典》有关条文执行。</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17.4本合同正本一式_______份，具有同等法律效力，甲方、乙方各执_______份；副本_______份，_______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17.5其他</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十八、合同附件</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 十九、合同融资支付约定</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19.1本合同已用于政府采购合同融资，为本项目提供合同融资的金融机构为：_______，本合同项下所有款项，甲方须支付至本合同约定的乙方账号，未经_______书面同意，不得变更账号。</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中标（成交）供应商应于采购合同签订之日起_______内，向发放政采贷的金融机构提交政府采购中标（成交）通知书和政府采购合同，贷款金额以政府采购合同金额为限。</w:t>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sz w:val="24"/>
          <w:szCs w:val="24"/>
        </w:rPr>
        <w:br w:type="textWrapping"/>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甲方（采购人）：</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法定（授权）代表人：</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纳税人识别号：</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开户银行：</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账号：</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乙方（中标或成交人）：</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法定（授权）代表人：</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纳税人识别号：</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开户银行：</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账号：</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签订地点：_____________</w:t>
      </w:r>
    </w:p>
    <w:p>
      <w:pPr>
        <w:pStyle w:val="7"/>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签订日期：____年___月___日</w:t>
      </w:r>
    </w:p>
    <w:p>
      <w:pPr>
        <w:pStyle w:val="7"/>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第七章 电子投标文件格式</w:t>
      </w:r>
    </w:p>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编制说明</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1、除招标文件另有规定外，本章中：</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1.1涉及投标人的“全称”：</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（1）不接受联合体投标的，指投标人的全称。</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（2）接受联合体投标且投标人为联合体的，指牵头方的全称并加注（联合体牵头方），即应表述为：“牵头方的全称（联合体牵头方）”。</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1.2涉及投标人“加盖单位公章”：</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（1）不接受联合体投标的，指加盖投标人的单位公章。</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（2）接受联合体投标且投标人为联合体的，指加盖联合体牵头方的单位公章。</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1.3涉及“投标人代表签字”：</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（1）不接受联合体投标的，指由投标人的单位负责人或其授权的委托代理人签字，由委托代理人签字的，应提供“单位授权书”。</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（2）接受联合体投标且投标人为联合体的，指由联合体牵头方的单位负责人或其授权的委托代理人签字，由委托代理人签字的，应提供“单位授权书”。</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1.4“其他组织”指合伙企业、非企业专业服务机构、个体工商户、农村承包经营户等。</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1.5“自然人”指具有完全民事行为能力、能够承担民事责任和义务的中国公民。</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2、除招标文件另有规定外，本章中“投标人的资格及资信证明文件”：</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2.1投标人应按照招标文件第四章第1.3条第（2）款规定及本章规定进行编制，如有必要，可增加附页，附页作为资格及资信文件的组成部分。</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2.2接受联合体投标且投标人为联合体的，联合体中的各方均应按照本章第2.1条规定提交相应的全部资料。</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3、投标人对电子投标文件的索引应编制页码。</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4、本章提供格式仅供参考，投标人应根据自身实际情况制作电子投标文件。</w:t>
      </w:r>
    </w:p>
    <w:p>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封面格式(资格及资信证明部分)</w:t>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福建省政府采购投标文件</w:t>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（资格及资信证明部分）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（填写正本或副本）</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项目名称：（由投标人填写）</w:t>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备案编号：（由投标人填写）</w:t>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项目编号：（由投标人填写）</w:t>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所投采购包：（由投标人填写）</w:t>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投标人：（填写“全称”）</w:t>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（由投标人填写）年（由投标人填写）月</w:t>
      </w:r>
    </w:p>
    <w:p>
      <w:pPr>
        <w:pStyle w:val="7"/>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索引</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一、投标函</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二、投标人的资格及资信证明文件</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三、投标保证金</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※注意</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资格及资信证明部分中不得出现报价部分的全部或部分的投标报价信息（或组成资料），否则资格审查不合格。（联合体协议及分包意向协议中的比例规定，不适用本条款）</w:t>
      </w:r>
    </w:p>
    <w:p>
      <w:pPr>
        <w:pStyle w:val="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sz w:val="24"/>
          <w:szCs w:val="24"/>
        </w:rPr>
        <w:br w:type="page"/>
      </w:r>
    </w:p>
    <w:p>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一、投标函</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兹收到贵单位关于</w:t>
      </w:r>
      <w:r>
        <w:rPr>
          <w:rFonts w:hint="eastAsia" w:asciiTheme="minorEastAsia" w:hAnsiTheme="minorEastAsia" w:eastAsiaTheme="minorEastAsia" w:cstheme="minorEastAsia"/>
          <w:u w:val="single"/>
        </w:rPr>
        <w:t xml:space="preserve">（填写“项目名称”） </w:t>
      </w:r>
      <w:r>
        <w:rPr>
          <w:rFonts w:hint="eastAsia" w:asciiTheme="minorEastAsia" w:hAnsiTheme="minorEastAsia" w:eastAsiaTheme="minorEastAsia" w:cstheme="minorEastAsia"/>
        </w:rPr>
        <w:t>项目</w:t>
      </w:r>
      <w:r>
        <w:rPr>
          <w:rFonts w:hint="eastAsia" w:asciiTheme="minorEastAsia" w:hAnsiTheme="minorEastAsia" w:eastAsiaTheme="minorEastAsia" w:cstheme="minorEastAsia"/>
          <w:u w:val="single"/>
        </w:rPr>
        <w:t xml:space="preserve">（项目编号：　　　　　） </w:t>
      </w:r>
      <w:r>
        <w:rPr>
          <w:rFonts w:hint="eastAsia" w:asciiTheme="minorEastAsia" w:hAnsiTheme="minorEastAsia" w:eastAsiaTheme="minorEastAsia" w:cstheme="minorEastAsia"/>
        </w:rPr>
        <w:t>的投标邀请，本投标人代表</w:t>
      </w:r>
      <w:r>
        <w:rPr>
          <w:rFonts w:hint="eastAsia" w:asciiTheme="minorEastAsia" w:hAnsiTheme="minorEastAsia" w:eastAsiaTheme="minorEastAsia" w:cstheme="minorEastAsia"/>
          <w:u w:val="single"/>
        </w:rPr>
        <w:t xml:space="preserve">（填写“全名”） </w:t>
      </w:r>
      <w:r>
        <w:rPr>
          <w:rFonts w:hint="eastAsia" w:asciiTheme="minorEastAsia" w:hAnsiTheme="minorEastAsia" w:eastAsiaTheme="minorEastAsia" w:cstheme="minorEastAsia"/>
        </w:rPr>
        <w:t>已获得我方正式授权并代表投标人（填写“全称”）参加投标，并提交电子投标文件。我方提交的全部电子投标文件由下述部分组成：</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（1）资格及资信证明部分</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①投标函</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②投标人的资格及资信证明文件</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③投标保证金</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（2）报价部分</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①开标一览表</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②投标分项报价表</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③招标文件规定的价格扣除证明材料（若有）</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④招标文件规定的加分证明材料（若有）</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（3）技术商务部分</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①标的说明一览表</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②技术和服务要求响应表</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③商务条件响应表</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④投标人提交的其他资料（若有）</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根据本函，本投标人代表宣布我方保证遵守招标文件的全部规定，同时：</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1、确认：</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1.1所投采购包的投标报价详见“开标一览表”及“投标分项报价表”。</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1.2我方已详细审查全部招标文件[包括但不限于：有关附件（若有）、澄清或修改（若有）等]，并自行承担因对全部招标文件理解不正确或误解而产生的相应后果和责任。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2、承诺及声明：</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2.1我方具备招标文件第一章载明的“投标人的资格要求”且符合招标文件第三章载明的“二、投标人”之规定，否则投标无效。</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2.2我方提交的电子投标文件各组成部分的全部内容及资料是不可割离且真实、有效、准确、完整和不具有任何误导性的，否则产生不利后果由我方承担责任。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2.3我方提供的标的价格不高于同期市场价格，否则产生不利后果由我方承担责任。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2.4投标保证金：若出现招标文件第三章规定的不予退还情形，同意贵单位不予退还。</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2.5投标有效期：按照招标文件第三章规定执行，并在招标文件第二章载明的期限内保持有效。</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2.6若中标，将按照招标文件、我方电子投标文件及政府采购合同履行责任和义务。</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2.7若贵单位要求，我方同意提供与本项目投标有关的一切资料、数据或文件，并完全理解贵单位不一定要接受最低的投标报价或收到的任何投标。</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2.8 我方承诺遵守《中华人民共和国劳动合同法》有关规定和《中华人民共和国妇女权益保障法 》中关于“劳动和社会保障权益”的有关要求。</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2.9我方承诺电子投标文件所提供的全部资料真实可靠，并接受评标委员会、采购人、采购代理机构、监管部门进一步审查其中任何资料真实性的要求。</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2.10除招标文件另有规定外，对于贵单位按照下述联络方式发出的任何信息或通知，均视为我方已收悉前述信息或通知的全部内容：</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通信地址：                                        </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邮编：                                           </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联系方法：（包括但不限于：联系人、联系电话、手机、传真、电子邮箱等）</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投标人：（全称并加盖单位公章）</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    年   月   日</w:t>
      </w:r>
    </w:p>
    <w:p>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二、投标人的资格及资信证明文件</w:t>
      </w:r>
    </w:p>
    <w:p>
      <w:pPr>
        <w:pStyle w:val="7"/>
        <w:ind w:firstLine="960"/>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二-1单位授权书（若有）</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我方的单位负责人</w:t>
      </w:r>
      <w:r>
        <w:rPr>
          <w:rFonts w:hint="eastAsia" w:asciiTheme="minorEastAsia" w:hAnsiTheme="minorEastAsia" w:eastAsiaTheme="minorEastAsia" w:cstheme="minorEastAsia"/>
          <w:u w:val="single"/>
        </w:rPr>
        <w:t>（填写“单位负责人全名”）</w:t>
      </w:r>
      <w:r>
        <w:rPr>
          <w:rFonts w:hint="eastAsia" w:asciiTheme="minorEastAsia" w:hAnsiTheme="minorEastAsia" w:eastAsiaTheme="minorEastAsia" w:cstheme="minorEastAsia"/>
        </w:rPr>
        <w:t>授权</w:t>
      </w:r>
      <w:r>
        <w:rPr>
          <w:rFonts w:hint="eastAsia" w:asciiTheme="minorEastAsia" w:hAnsiTheme="minorEastAsia" w:eastAsiaTheme="minorEastAsia" w:cstheme="minorEastAsia"/>
          <w:u w:val="single"/>
        </w:rPr>
        <w:t>（填写“投标人代表全名”）</w:t>
      </w:r>
      <w:r>
        <w:rPr>
          <w:rFonts w:hint="eastAsia" w:asciiTheme="minorEastAsia" w:hAnsiTheme="minorEastAsia" w:eastAsiaTheme="minorEastAsia" w:cstheme="minorEastAsia"/>
        </w:rPr>
        <w:t>为投标人代表，代表我方参加</w:t>
      </w:r>
      <w:r>
        <w:rPr>
          <w:rFonts w:hint="eastAsia" w:asciiTheme="minorEastAsia" w:hAnsiTheme="minorEastAsia" w:eastAsiaTheme="minorEastAsia" w:cstheme="minorEastAsia"/>
          <w:u w:val="single"/>
        </w:rPr>
        <w:t>（填写“项目名称”）</w:t>
      </w:r>
      <w:r>
        <w:rPr>
          <w:rFonts w:hint="eastAsia" w:asciiTheme="minorEastAsia" w:hAnsiTheme="minorEastAsia" w:eastAsiaTheme="minorEastAsia" w:cstheme="minorEastAsia"/>
        </w:rPr>
        <w:t>项目（项目编号：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投标人代表无转委权。特此授权。</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（以下无正文）</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单位负责人：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身份证号：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手机：</w:t>
      </w:r>
      <w:r>
        <w:rPr>
          <w:rFonts w:hint="eastAsia" w:asciiTheme="minorEastAsia" w:hAnsiTheme="minorEastAsia" w:eastAsiaTheme="minorEastAsia" w:cstheme="minorEastAsia"/>
          <w:u w:val="single"/>
        </w:rPr>
        <w:t>　　　　　</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投标人代表：</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身份证号：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手机：</w:t>
      </w:r>
      <w:r>
        <w:rPr>
          <w:rFonts w:hint="eastAsia" w:asciiTheme="minorEastAsia" w:hAnsiTheme="minorEastAsia" w:eastAsiaTheme="minorEastAsia" w:cstheme="minorEastAsia"/>
          <w:u w:val="single"/>
        </w:rPr>
        <w:t>　　　　　</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授权方</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签署日期： 年 月 日</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附：单位负责人、投标人代表的身份证正反面复印件</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要求：真实有效且内容完整、清晰、整洁。</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1、企业（银行、保险、石油石化、电力、电信等行业除外）、事业单位和社会团体法人的“单位负责人”指法定代表人，即与实际提交的“营业执照等证明文件”载明的一致。</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3、投标人（自然人除外）：若投标人代表为单位授权的委托代理人，应提供本授权书；若投标人代表为单位负责人，应在此项下提交其身份证正反面复印件，可不提供本授权书。</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4、投标人为自然人的，可不填写本授权书。</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ind w:firstLine="960"/>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二-2 证明材料</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pPr>
        <w:pStyle w:val="7"/>
        <w:ind w:firstLine="960"/>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二-2-1 福建省政府采购供应商资格承诺函</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单位名称(自然人姓名):</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统一社会信用代码(自然人身份证号码):</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法定代表人(负责人):</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联系地址和电话:</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我单位(本人)自愿参加本次政府采购活动，严格遵守《中华人民共和国政府采购法》及相关法律法规，坚守公开、公平公正和诚实信用等原则，依法诚信经营，并郑重承诺:</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一、我单位(本人)具备采购文件要求以及《中华人民共和国政府采购法》第二十二条规定的条件:</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1.具有独立承担民事责任的能力;</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2.具有良好的商业信誉和健全的财务会计制度;</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3.具有履行合同所必需的设备和专业技术能力;</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4.有依法缴纳税收和社会保障资金的良好记录;</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5.参加政府采购活动前三年内，在经营活动中没有重大违法记录；</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6.法律、行政法规规定的其他条件。</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w:t>
      </w:r>
      <w:r>
        <w:rPr>
          <w:rFonts w:hint="eastAsia" w:asciiTheme="minorEastAsia" w:hAnsiTheme="minorEastAsia" w:eastAsiaTheme="minorEastAsia" w:cstheme="minorEastAsia"/>
          <w:u w:val="single"/>
        </w:rPr>
        <w:t>名称(单位公章)</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1.我单位(本人)专指参加政府采购活动的供应商(含自然人)；</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2.资格承诺的供应商应在投标(响应)文件中按此模板提供承诺函，否则，视为未按照招标文件规定提交投标人的资格及资信文件，按资格审查不通过处理。</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ind w:firstLine="960"/>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二-2-2 资格证明材料</w:t>
      </w:r>
    </w:p>
    <w:p>
      <w:pPr>
        <w:pStyle w:val="7"/>
        <w:ind w:firstLine="960"/>
        <w:jc w:val="center"/>
        <w:outlineLvl w:val="4"/>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营业执照等证明文件</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）投标人为法人（包括企业、事业单位和社会团体）的</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现附上由</w:t>
      </w:r>
      <w:r>
        <w:rPr>
          <w:rFonts w:hint="eastAsia" w:asciiTheme="minorEastAsia" w:hAnsiTheme="minorEastAsia" w:eastAsiaTheme="minorEastAsia" w:cstheme="minorEastAsia"/>
          <w:u w:val="single"/>
        </w:rPr>
        <w:t>（（填写“签发机关全称”）</w:t>
      </w:r>
      <w:r>
        <w:rPr>
          <w:rFonts w:hint="eastAsia" w:asciiTheme="minorEastAsia" w:hAnsiTheme="minorEastAsia" w:eastAsiaTheme="minorEastAsia" w:cstheme="minorEastAsia"/>
        </w:rPr>
        <w:t>签发的我方统一社会信用代码（请填写法人的具体证照名称）复印件，该证明材料真实有效，否则我方负全部责任。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）投标人为非法人（包括其他组织、自然人）的</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□现附上由</w:t>
      </w:r>
      <w:r>
        <w:rPr>
          <w:rFonts w:hint="eastAsia" w:asciiTheme="minorEastAsia" w:hAnsiTheme="minorEastAsia" w:eastAsiaTheme="minorEastAsia" w:cstheme="minorEastAsia"/>
          <w:u w:val="single"/>
        </w:rPr>
        <w:t>（（填写“签发机关全称”）</w:t>
      </w:r>
      <w:r>
        <w:rPr>
          <w:rFonts w:hint="eastAsia" w:asciiTheme="minorEastAsia" w:hAnsiTheme="minorEastAsia" w:eastAsiaTheme="minorEastAsia" w:cstheme="minorEastAsia"/>
        </w:rPr>
        <w:t>签发的我方（请填写非自然人的非法人的具体证照名称）复印件，该证明材料真实有效，否则我方负全部责任。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□现附上由</w:t>
      </w:r>
      <w:r>
        <w:rPr>
          <w:rFonts w:hint="eastAsia" w:asciiTheme="minorEastAsia" w:hAnsiTheme="minorEastAsia" w:eastAsiaTheme="minorEastAsia" w:cstheme="minorEastAsia"/>
          <w:u w:val="single"/>
        </w:rPr>
        <w:t>（（填写“签发机关全称”）</w:t>
      </w:r>
      <w:r>
        <w:rPr>
          <w:rFonts w:hint="eastAsia" w:asciiTheme="minorEastAsia" w:hAnsiTheme="minorEastAsia" w:eastAsiaTheme="minorEastAsia" w:cstheme="minorEastAsia"/>
        </w:rPr>
        <w:t>签发的我方（请填写自然人的身份证件名称）复印件，该证明材料真实有效，否则我方负全部责任。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1、请投标人按照实际情况编制填写，在相应的（）中打“√”并选择相应的“□”（若有）后，再按照本格式的要求提供相应证明材料的复印件。</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ind w:firstLine="960"/>
        <w:jc w:val="center"/>
        <w:outlineLvl w:val="4"/>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财务状况报告（财务报告、或资信证明）</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）投标人提供财务报告的</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□企业适用：现附上我方</w:t>
      </w:r>
      <w:r>
        <w:rPr>
          <w:rFonts w:hint="eastAsia" w:asciiTheme="minorEastAsia" w:hAnsiTheme="minorEastAsia" w:eastAsiaTheme="minorEastAsia" w:cstheme="minorEastAsia"/>
          <w:u w:val="single"/>
        </w:rPr>
        <w:t>（填写“具体的年度、或半年度、季度”）</w:t>
      </w:r>
      <w:r>
        <w:rPr>
          <w:rFonts w:hint="eastAsia" w:asciiTheme="minorEastAsia" w:hAnsiTheme="minorEastAsia" w:eastAsiaTheme="minorEastAsia" w:cstheme="minorEastAsia"/>
        </w:rPr>
        <w:t>财务报告复印件，包括资产负债表、利润表、现金流量表、所有者权益变动表（若有）及其附注（若有）、会计师事务所营业执照和注册会计师资格证书，上述证明材料真实有效，否则我方负全部责任。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□事业单位适用：现附上我方</w:t>
      </w:r>
      <w:r>
        <w:rPr>
          <w:rFonts w:hint="eastAsia" w:asciiTheme="minorEastAsia" w:hAnsiTheme="minorEastAsia" w:eastAsiaTheme="minorEastAsia" w:cstheme="minorEastAsia"/>
          <w:u w:val="single"/>
        </w:rPr>
        <w:t>（填写“具体的年度、或半年度、或季度”）</w:t>
      </w:r>
      <w:r>
        <w:rPr>
          <w:rFonts w:hint="eastAsia" w:asciiTheme="minorEastAsia" w:hAnsiTheme="minorEastAsia" w:eastAsiaTheme="minorEastAsia" w:cstheme="minorEastAsia"/>
        </w:rPr>
        <w:t>财务报告复印件，包括资产负债表、收入支出表（或收入费用表）、财政补助收入支出表（若有）、会计师事务所营业执照和注册会计师资格证书，上述证明材料真实有效，否则我方负全部责任。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□社会团体、民办非企适用：现附上我方</w:t>
      </w:r>
      <w:r>
        <w:rPr>
          <w:rFonts w:hint="eastAsia" w:asciiTheme="minorEastAsia" w:hAnsiTheme="minorEastAsia" w:eastAsiaTheme="minorEastAsia" w:cstheme="minorEastAsia"/>
          <w:u w:val="single"/>
        </w:rPr>
        <w:t>（填写“具体的年度、或半年度、或季度”）</w:t>
      </w:r>
      <w:r>
        <w:rPr>
          <w:rFonts w:hint="eastAsia" w:asciiTheme="minorEastAsia" w:hAnsiTheme="minorEastAsia" w:eastAsiaTheme="minorEastAsia" w:cstheme="minorEastAsia"/>
        </w:rPr>
        <w:t>财务报告复印件，包括资产负债表、业务活动表、现金流量表、会计师事务所营业执照和注册会计师资格证书，上述证明材料真实有效，否则我方负全部责任。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）投标人提供资信证明的</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□非自然人适用（包括企业、事业单位、社会团体和其他组织）：现附上我方银行：</w:t>
      </w:r>
      <w:r>
        <w:rPr>
          <w:rFonts w:hint="eastAsia" w:asciiTheme="minorEastAsia" w:hAnsiTheme="minorEastAsia" w:eastAsiaTheme="minorEastAsia" w:cstheme="minorEastAsia"/>
          <w:u w:val="single"/>
        </w:rPr>
        <w:t>（填写“开户银行全称”）</w:t>
      </w:r>
      <w:r>
        <w:rPr>
          <w:rFonts w:hint="eastAsia" w:asciiTheme="minorEastAsia" w:hAnsiTheme="minorEastAsia" w:eastAsiaTheme="minorEastAsia" w:cstheme="minorEastAsia"/>
        </w:rPr>
        <w:t>出具的资信证明复印件，上述证明材料真实有效，否则我方负全部责任。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□自然人适用：现附上我方银行</w:t>
      </w:r>
      <w:r>
        <w:rPr>
          <w:rFonts w:hint="eastAsia" w:asciiTheme="minorEastAsia" w:hAnsiTheme="minorEastAsia" w:eastAsiaTheme="minorEastAsia" w:cstheme="minorEastAsia"/>
          <w:u w:val="single"/>
        </w:rPr>
        <w:t>：（填写自然人的“个人账户的开户银行全称”）</w:t>
      </w:r>
      <w:r>
        <w:rPr>
          <w:rFonts w:hint="eastAsia" w:asciiTheme="minorEastAsia" w:hAnsiTheme="minorEastAsia" w:eastAsiaTheme="minorEastAsia" w:cstheme="minorEastAsia"/>
        </w:rPr>
        <w:t>出具的资信证明复印件，上述证明材料真实有效，否则我方负全部责任。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1、请投标人按照实际情况编制填写，在相应的（）中打“√”并选择相应的“□”（若有）后，再按照本格式的要求提供相应证明材料的复印件。</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2、投标人提供的财务报告复印件（成立年限按照投标截止时间推算）应符合下列规定：</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2.1成立年限满1年及以上的投标人，提供经审计的招标文件规定的年度财务报告。</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2.2成立年限满半年但不足1年的投标人，提供该半年度中任一季度的季度财务报告或该半年度的半年度财务报告。</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ind w:firstLine="960"/>
        <w:jc w:val="center"/>
        <w:outlineLvl w:val="4"/>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依法缴纳税收证明材料</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1、依法缴纳税收的投标人</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）法人（包括企业、事业单位和社会团体）的</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期间我方缴纳（包括但不限于税务机关出具的专用收据、税收缴纳证明或税收代缴银行的缴款收讫凭证）等税收凭据复印件，上述证明材料真实有效，否则我方负全部责任。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）非法人（包括其他组织、自然人）的</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期间我方缴纳（包括但不限于税务机关出具的专用收据、税收缴纳证明或税收代缴银行的缴款收讫凭证）等税收凭据复印件，上述证明材料真实有效，否则我方负全部责任。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2、依法免税的投标人</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）现附上我方依法免税的证明材料复印件，上述证明材料真实有效，否则我方负全部责任。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1、请投标人按照实际情况编制填写，在相应的（）中打“√”，并按照本格式的要求提供相应证明材料的复印件。</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2、投标人提供的税收缴纳凭据复印件应符合下列规定：</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2.1投标截止时间前（不含投标截止时间的当月）已依法缴纳税收的投标人，提供投标截止时间前六个月（不含投标截止时间的当月）中任一月份的税收缴纳凭据复印件。</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2.2投标截止时间的当月成立的投标人，视同满足本项资格条件要求。</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3、若为依法免税范围的投标人，提供依法免税证明材料的，视同满足本项资格条件要求。</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ind w:firstLine="960"/>
        <w:jc w:val="center"/>
        <w:outlineLvl w:val="4"/>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依法缴纳社会保障资金证明材料</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1、依法缴纳社会保障资金的投标人</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）法人（包括企业、事业单位和社会团体）的</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我方缴纳的社会保险凭据（限：税务机关/社会保障资金管理机关的专用收据或社会保险缴纳清单，或社会保险的银行缴款收讫凭证）复印件，上述证明材料真实有效，否则我方负全部责任。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）非法人（包括其他组织、自然人）的</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我方缴纳的社会保险凭据（限：税务机关/社会保障资金管理机关的专用收据或社会保险缴纳清单，或社会保险的银行缴款收讫凭证）复印件，上述证明材料真实有效，否则我方负全部责任。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2、依法不需要缴纳或暂缓缴纳社会保障资金的投标人</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）现附上我方依法不需要缴纳或暂缓缴纳社会保障资金证明材料复印件，上述证明材料真实有效，否则我方负全部责任。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1、请投标人按照实际情况编制填写，在相应的（）中打“√”，并按照本格式的要求提供相应证明材料的复印件。</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2、投标人提供的社会保障资金缴纳凭据复印件应符合下列规定：</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2.1投标截止时间前（不含投标截止时间的当月）已依法缴纳社会保障资金的投标人，提供投标截止时间前六个月（不含投标截止时间的当月）中任一月份的社会保障资金缴纳凭据复印件。</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2.2投标截止时间的当月成立的投标人，视同满足本项资格条件要求。</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3、若为依法不需要缴纳或暂缓缴纳社会保障资金的投标人，提供依法不需要缴纳或暂缓缴纳社会保障资金证明材料的，视同满足本项资格条件要求。</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ind w:firstLine="960"/>
        <w:jc w:val="center"/>
        <w:outlineLvl w:val="4"/>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具备履行合同所必需设备和专业技术能力的声明函（若有）</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我方具备履行合同所必需的设备和专业技术能力，否则产生不利后果由我方承担责任。</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特此声明。</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1、招标文件未要求投标人提供“具备履行合同所必需的设备和专业技术能力专项证明材料”的，投标人应提供本声明函。</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2、招标文件要求投标人提供“具备履行合同所必需的设备和专业技术能力专项证明材料”的，投标人可不提供本声明函。</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3、请投标人根据实际情况如实声明，否则视为提供虚假材料。</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ind w:firstLine="960"/>
        <w:jc w:val="center"/>
        <w:outlineLvl w:val="4"/>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参加采购活动前三年内在经营活动中没有重大违法记录书面声明</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参加采购活动前三年内，我方在经营活动中没有重大违法记录，即没有因违法经营受到刑事处罚或责令停产停业、吊销许可证或执照、较大数额罚款等行政处罚。否则产生不利后果由我方承担责任。</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特此声明。</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请投标人根据实际情况如实声明，否则视为提供虚假材料。</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ind w:firstLine="960"/>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二-3信用记录查询提示</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1、由资格审查小组通过网站查询并打印投标人的信用记录。</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ind w:firstLine="960"/>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二-4中小企业声明函</w:t>
      </w:r>
    </w:p>
    <w:p>
      <w:pPr>
        <w:pStyle w:val="7"/>
        <w:ind w:firstLine="960"/>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（以资格条件落实中小企业扶持政策时适用，若有）</w:t>
      </w:r>
    </w:p>
    <w:p>
      <w:pPr>
        <w:pStyle w:val="7"/>
        <w:ind w:firstLine="960"/>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中小企业声明函（货物）</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采购活动，提供的货物全部由符合政策要求的中小企业制造。相关企业（含联合体中的中小企业、签订分包意向协议的中小企业）的具体情况如下：</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万元¹，属于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ind w:firstLine="960"/>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中小企业声明函（工程、服务）</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采购活动，工程的施工单位全部为符合政策要求的中小企业（或者：服务全部由符合政策要求的中小企业承接）。相关企业（含联合体中的中小企业、签订分包意向协议的中小企业）的具体情况如下：</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万元¹，属于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ind w:firstLine="960"/>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残疾人福利性单位声明函</w:t>
      </w:r>
    </w:p>
    <w:p>
      <w:pPr>
        <w:pStyle w:val="7"/>
        <w:ind w:firstLine="960"/>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（以资格条件落实中小企业扶持政策时适用，若有）</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）由本投标人承建的（填写“所投采购包、品目号”）工程</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）由本投标人承接的（填写“所投采购包、品目号”）服务；</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本投标人对上述声明的真实性负责。如有虚假，将依法承担相应责任。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1、请投标人按照实际情况编制填写本声明函，并在相应的（）中打“√”。</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2、若《残疾人福利性单位声明函》内容不真实，视为提供虚假材料。</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w:t>
      </w:r>
    </w:p>
    <w:p>
      <w:pPr>
        <w:pStyle w:val="7"/>
        <w:ind w:firstLine="960"/>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监狱企业证明材料</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投标人为监狱企业，提供本单位制造的货物（承接的服务），并在电子投标文件中提供省级以上监狱管理局、戒毒管理局（含新疆生产建设兵团）出具的属于监狱企业的证明文件。</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ind w:firstLine="960"/>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二-5联合体协议（若有）</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兹有</w:t>
      </w:r>
      <w:r>
        <w:rPr>
          <w:rFonts w:hint="eastAsia" w:asciiTheme="minorEastAsia" w:hAnsiTheme="minorEastAsia" w:eastAsiaTheme="minorEastAsia" w:cstheme="minorEastAsia"/>
          <w:u w:val="single"/>
        </w:rPr>
        <w:t>（填写“联合体中各方的全称”，各方的全称之间请用“、”分割）</w:t>
      </w:r>
      <w:r>
        <w:rPr>
          <w:rFonts w:hint="eastAsia" w:asciiTheme="minorEastAsia" w:hAnsiTheme="minorEastAsia" w:eastAsiaTheme="minorEastAsia" w:cstheme="minorEastAsia"/>
        </w:rPr>
        <w:t>自愿组成联合体，共同参加</w:t>
      </w:r>
      <w:r>
        <w:rPr>
          <w:rFonts w:hint="eastAsia" w:asciiTheme="minorEastAsia" w:hAnsiTheme="minorEastAsia" w:eastAsiaTheme="minorEastAsia" w:cstheme="minorEastAsia"/>
          <w:u w:val="single"/>
        </w:rPr>
        <w:t>（填写“项目名称”）</w:t>
      </w:r>
      <w:r>
        <w:rPr>
          <w:rFonts w:hint="eastAsia" w:asciiTheme="minorEastAsia" w:hAnsiTheme="minorEastAsia" w:eastAsiaTheme="minorEastAsia" w:cstheme="minorEastAsia"/>
        </w:rPr>
        <w:t xml:space="preserve"> 项目（项目编号：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）的投标。现就联合体参加本项目投标的有关事宜达成下列协议：</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一、联合体各方应承担的工作和义务具体如下：</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1、牵头方（全称）：</w:t>
      </w:r>
      <w:r>
        <w:rPr>
          <w:rFonts w:hint="eastAsia" w:asciiTheme="minorEastAsia" w:hAnsiTheme="minorEastAsia" w:eastAsiaTheme="minorEastAsia" w:cstheme="minorEastAsia"/>
          <w:u w:val="single"/>
        </w:rPr>
        <w:t xml:space="preserve">（填写“工作及义务的具体内容”） </w:t>
      </w:r>
      <w:r>
        <w:rPr>
          <w:rFonts w:hint="eastAsia" w:asciiTheme="minorEastAsia" w:hAnsiTheme="minorEastAsia" w:eastAsiaTheme="minorEastAsia" w:cstheme="minorEastAsia"/>
        </w:rPr>
        <w:t>；</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2、成员方：</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2.1（成员一的全称）：</w:t>
      </w:r>
      <w:r>
        <w:rPr>
          <w:rFonts w:hint="eastAsia" w:asciiTheme="minorEastAsia" w:hAnsiTheme="minorEastAsia" w:eastAsiaTheme="minorEastAsia" w:cstheme="minorEastAsia"/>
          <w:u w:val="single"/>
        </w:rPr>
        <w:t>（填写“工作及义务的具体内容”）</w:t>
      </w:r>
      <w:r>
        <w:rPr>
          <w:rFonts w:hint="eastAsia" w:asciiTheme="minorEastAsia" w:hAnsiTheme="minorEastAsia" w:eastAsiaTheme="minorEastAsia" w:cstheme="minorEastAsia"/>
        </w:rPr>
        <w:t xml:space="preserve"> ；</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二、联合体各方的合同金额占比，具体如下：</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1.牵头方（</w:t>
      </w:r>
      <w:r>
        <w:rPr>
          <w:rFonts w:hint="eastAsia" w:asciiTheme="minorEastAsia" w:hAnsiTheme="minorEastAsia" w:eastAsiaTheme="minorEastAsia" w:cstheme="minorEastAsia"/>
          <w:u w:val="single"/>
        </w:rPr>
        <w:t xml:space="preserve"> 全称</w:t>
      </w:r>
      <w:r>
        <w:rPr>
          <w:rFonts w:hint="eastAsia" w:asciiTheme="minorEastAsia" w:hAnsiTheme="minorEastAsia" w:eastAsiaTheme="minorEastAsia" w:cstheme="minorEastAsia"/>
        </w:rPr>
        <w:t xml:space="preserve"> ）的合同金额占合同总额的</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2.成员方：</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w:t>
      </w:r>
      <w:r>
        <w:rPr>
          <w:rFonts w:hint="eastAsia" w:asciiTheme="minorEastAsia" w:hAnsiTheme="minorEastAsia" w:eastAsiaTheme="minorEastAsia" w:cstheme="minorEastAsia"/>
          <w:u w:val="single"/>
        </w:rPr>
        <w:t xml:space="preserve"> 成员1的全称 </w:t>
      </w:r>
      <w:r>
        <w:rPr>
          <w:rFonts w:hint="eastAsia" w:asciiTheme="minorEastAsia" w:hAnsiTheme="minorEastAsia" w:eastAsiaTheme="minorEastAsia" w:cstheme="minorEastAsia"/>
        </w:rPr>
        <w:t>）的合同金额占合同总额的</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三、联合体各方约定：</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1、由</w:t>
      </w:r>
      <w:r>
        <w:rPr>
          <w:rFonts w:hint="eastAsia" w:asciiTheme="minorEastAsia" w:hAnsiTheme="minorEastAsia" w:eastAsiaTheme="minorEastAsia" w:cstheme="minorEastAsia"/>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2、联合体各方约定由</w:t>
      </w:r>
      <w:r>
        <w:rPr>
          <w:rFonts w:hint="eastAsia" w:asciiTheme="minorEastAsia" w:hAnsiTheme="minorEastAsia" w:eastAsiaTheme="minorEastAsia" w:cstheme="minorEastAsia"/>
          <w:u w:val="single"/>
        </w:rPr>
        <w:t>（填写“牵头方的全称”）代表联合体办理投标保证金事宜。</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四、若中标，牵头方将代表联合体与采购人就合同签订事宜进行协商；若协商一致，则联合体各方将共同与采购人签订政府采购合同，并就政府采购合同约定的事项对采购人承担连带责任。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五、本协议自签署之日起生效，政府采购合同履行完毕后自动失效。</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六、本协议一式</w:t>
      </w:r>
      <w:r>
        <w:rPr>
          <w:rFonts w:hint="eastAsia" w:asciiTheme="minorEastAsia" w:hAnsiTheme="minorEastAsia" w:eastAsiaTheme="minorEastAsia" w:cstheme="minorEastAsia"/>
          <w:u w:val="single"/>
        </w:rPr>
        <w:t>（填写具体份数）</w:t>
      </w:r>
      <w:r>
        <w:rPr>
          <w:rFonts w:hint="eastAsia" w:asciiTheme="minorEastAsia" w:hAnsiTheme="minorEastAsia" w:eastAsiaTheme="minorEastAsia" w:cstheme="minorEastAsia"/>
        </w:rPr>
        <w:t>份，联合体各方各执一份，电子投标文件中提交一份。</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（以下无正文）</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牵头方：</w:t>
      </w:r>
      <w:r>
        <w:rPr>
          <w:rFonts w:hint="eastAsia" w:asciiTheme="minorEastAsia" w:hAnsiTheme="minorEastAsia" w:eastAsiaTheme="minorEastAsia" w:cstheme="minorEastAsia"/>
          <w:u w:val="single"/>
        </w:rPr>
        <w:t>（全称并加盖单位公章）</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法定代表人或其委托代理人：</w:t>
      </w:r>
      <w:r>
        <w:rPr>
          <w:rFonts w:hint="eastAsia" w:asciiTheme="minorEastAsia" w:hAnsiTheme="minorEastAsia" w:eastAsiaTheme="minorEastAsia" w:cstheme="minorEastAsia"/>
          <w:u w:val="single"/>
        </w:rPr>
        <w:t xml:space="preserve"> （签字或盖章）</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成员一：</w:t>
      </w:r>
      <w:r>
        <w:rPr>
          <w:rFonts w:hint="eastAsia" w:asciiTheme="minorEastAsia" w:hAnsiTheme="minorEastAsia" w:eastAsiaTheme="minorEastAsia" w:cstheme="minorEastAsia"/>
          <w:u w:val="single"/>
        </w:rPr>
        <w:t>（全称并加盖成员一的单位公章）</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法定代表人或其委托代理人：</w:t>
      </w:r>
      <w:r>
        <w:rPr>
          <w:rFonts w:hint="eastAsia" w:asciiTheme="minorEastAsia" w:hAnsiTheme="minorEastAsia" w:eastAsiaTheme="minorEastAsia" w:cstheme="minorEastAsia"/>
          <w:u w:val="single"/>
        </w:rPr>
        <w:t xml:space="preserve"> （签字或盖章）</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成员**：</w:t>
      </w:r>
      <w:r>
        <w:rPr>
          <w:rFonts w:hint="eastAsia" w:asciiTheme="minorEastAsia" w:hAnsiTheme="minorEastAsia" w:eastAsiaTheme="minorEastAsia" w:cstheme="minorEastAsia"/>
          <w:u w:val="single"/>
        </w:rPr>
        <w:t>（全称并加盖成员**的单位公章）</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法定代表人或其委托代理人：</w:t>
      </w:r>
      <w:r>
        <w:rPr>
          <w:rFonts w:hint="eastAsia" w:asciiTheme="minorEastAsia" w:hAnsiTheme="minorEastAsia" w:eastAsiaTheme="minorEastAsia" w:cstheme="minorEastAsia"/>
          <w:u w:val="single"/>
        </w:rPr>
        <w:t xml:space="preserve"> （签字或盖章）</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签署日期：</w:t>
      </w:r>
      <w:r>
        <w:rPr>
          <w:rFonts w:hint="eastAsia" w:asciiTheme="minorEastAsia" w:hAnsiTheme="minorEastAsia" w:eastAsiaTheme="minorEastAsia" w:cstheme="minorEastAsia"/>
          <w:u w:val="single"/>
        </w:rPr>
        <w:t>　　年　　月　　日</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1、招标文件接受联合体投标且投标人为联合体的，投标人应提供本协议；否则无须提供。</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2、本协议由委托代理人签字或盖章的，应按照本章载明的格式提供“单位授权书”。</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3、在以联合体形式落实中小企业预留份额项目中，投标人除了要提供《中小企业声明函》，还需提供本协议。</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ind w:firstLine="960"/>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二-6分包意向协议（若有）</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甲方（总包方）：</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（即本项目的投标人）</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乙方（分包方）：</w:t>
      </w:r>
      <w:r>
        <w:rPr>
          <w:rFonts w:hint="eastAsia" w:asciiTheme="minorEastAsia" w:hAnsiTheme="minorEastAsia" w:eastAsiaTheme="minorEastAsia" w:cstheme="minorEastAsia"/>
          <w:u w:val="single"/>
        </w:rPr>
        <w:t>　　　　　　　</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兹有甲方参加</w:t>
      </w:r>
      <w:r>
        <w:rPr>
          <w:rFonts w:hint="eastAsia" w:asciiTheme="minorEastAsia" w:hAnsiTheme="minorEastAsia" w:eastAsiaTheme="minorEastAsia" w:cstheme="minorEastAsia"/>
          <w:u w:val="single"/>
        </w:rPr>
        <w:t>（填写“项目名称”）</w:t>
      </w:r>
      <w:r>
        <w:rPr>
          <w:rFonts w:hint="eastAsia" w:asciiTheme="minorEastAsia" w:hAnsiTheme="minorEastAsia" w:eastAsiaTheme="minorEastAsia" w:cstheme="minorEastAsia"/>
        </w:rPr>
        <w:t xml:space="preserve"> 项目（项目编号：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）的政府采购活动。甲方期望将采购项目的部分采购标的分包给乙方完成，而乙方保证能够向甲方提供本协议项下的采购标的，甲、乙双方就合同分包的有关事宜达成下列协议：</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一、分包标的</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u w:val="single"/>
        </w:rPr>
        <w:t>（根据双方的意向填写，可以是表格或文字描述）。</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二、分包合同金额占比</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分包合同价占投标总价的比例：</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三、其他条款</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5"/>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w:t>
            </w:r>
          </w:p>
        </w:tc>
        <w:tc>
          <w:tcPr>
            <w:tcW w:w="4153"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住所：</w:t>
            </w:r>
          </w:p>
        </w:tc>
        <w:tc>
          <w:tcPr>
            <w:tcW w:w="4153"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住所：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单位负责人或委托代理人：</w:t>
            </w:r>
          </w:p>
        </w:tc>
        <w:tc>
          <w:tcPr>
            <w:tcW w:w="4153"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单位负责人或委托代理人：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联系方法：</w:t>
            </w:r>
          </w:p>
        </w:tc>
        <w:tc>
          <w:tcPr>
            <w:tcW w:w="4153"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开户银行：</w:t>
            </w:r>
          </w:p>
        </w:tc>
        <w:tc>
          <w:tcPr>
            <w:tcW w:w="4153"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开户银行：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账号：</w:t>
            </w:r>
          </w:p>
        </w:tc>
        <w:tc>
          <w:tcPr>
            <w:tcW w:w="4153"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账号：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pPr>
              <w:pStyle w:val="7"/>
              <w:ind w:firstLine="96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签订地点：</w:t>
            </w:r>
            <w:r>
              <w:rPr>
                <w:rFonts w:hint="eastAsia" w:asciiTheme="minorEastAsia" w:hAnsiTheme="minorEastAsia" w:eastAsiaTheme="minorEastAsia" w:cstheme="minorEastAsia"/>
                <w:u w:val="single"/>
              </w:rPr>
              <w:t>　　　　　　　　　　</w:t>
            </w:r>
          </w:p>
          <w:p>
            <w:pPr>
              <w:pStyle w:val="7"/>
              <w:ind w:firstLine="96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签约日期：</w:t>
            </w:r>
            <w:r>
              <w:rPr>
                <w:rFonts w:hint="eastAsia" w:asciiTheme="minorEastAsia" w:hAnsiTheme="minorEastAsia" w:eastAsiaTheme="minorEastAsia" w:cstheme="minorEastAsia"/>
                <w:u w:val="single"/>
              </w:rPr>
              <w:t>　　年　　月　　日</w:t>
            </w:r>
          </w:p>
        </w:tc>
      </w:tr>
    </w:tbl>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1.招标文件接受合同分包且投标人拟将合同分包的，应提供本协议；否则无须提供。</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2.本协议由委托代理人签字或盖章的，应按照本章载明的格式提供“单位授权书”。</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3.在以合同分包形式落实中小企业预留份额项目中，投标人除了要提供《中小企业声明函》，还需提供本协议。</w:t>
      </w:r>
    </w:p>
    <w:p>
      <w:pPr>
        <w:pStyle w:val="7"/>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ind w:firstLine="960"/>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二-7其他资格证明文件（若有）</w:t>
      </w:r>
    </w:p>
    <w:p>
      <w:pPr>
        <w:pStyle w:val="7"/>
        <w:ind w:firstLine="960"/>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二-7-①招标文件规定的其他资格证明文件（若有）</w:t>
      </w:r>
    </w:p>
    <w:p>
      <w:pPr>
        <w:pStyle w:val="7"/>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除招标文件另有规定外，招标文件要求提交的除前述资格证明文件外的其他资格证明文件（若有）加盖投标人的单位公章后应在此项下提交。</w:t>
      </w:r>
    </w:p>
    <w:p>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三、投标保证金</w:t>
      </w:r>
    </w:p>
    <w:p>
      <w:pPr>
        <w:pStyle w:val="7"/>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1、在此项下提交的“投标保证金”材料可使用转账凭证复印件或从福建省政府采购网上公开信息系统中下载的有关原始页面的打印件。</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2、投标保证金是否已提交的认定按照招标文件第三章规定执行。</w:t>
      </w:r>
    </w:p>
    <w:p>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封面格式(报价部分)</w:t>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福建省政府采购投标文件</w:t>
      </w:r>
    </w:p>
    <w:p>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（报价部分）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（填写正本或副本）</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项目名称：（由投标人填写）</w:t>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备案编号：（由投标人填写）</w:t>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项目编号：（由投标人填写）</w:t>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所投采购包：（由投标人填写）</w:t>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投标人：（填写“全称”）</w:t>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（由投标人填写）年（由投标人填写）月</w:t>
      </w:r>
    </w:p>
    <w:p>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索引</w:t>
      </w:r>
    </w:p>
    <w:p>
      <w:pPr>
        <w:pStyle w:val="7"/>
        <w:ind w:firstLine="480"/>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一、开标（报价）一览表</w:t>
      </w:r>
    </w:p>
    <w:p>
      <w:pPr>
        <w:pStyle w:val="7"/>
        <w:ind w:firstLine="480"/>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二、投标（响应）报价明细表</w:t>
      </w:r>
    </w:p>
    <w:p>
      <w:pPr>
        <w:pStyle w:val="7"/>
        <w:ind w:firstLine="480"/>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三、招标文件规定的价格扣除证明材料（若有）</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left"/>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开标（报价）一览表</w:t>
      </w:r>
    </w:p>
    <w:p>
      <w:pPr>
        <w:pStyle w:val="7"/>
        <w:ind w:right="165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项目编号：[350001]YXGL[GK]2026001</w:t>
      </w:r>
    </w:p>
    <w:p>
      <w:pPr>
        <w:pStyle w:val="7"/>
        <w:spacing w:line="375" w:lineRule="exact"/>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项目名称：应急科普户外媒体播出服务</w:t>
      </w:r>
    </w:p>
    <w:p>
      <w:pPr>
        <w:pStyle w:val="7"/>
        <w:spacing w:line="375" w:lineRule="exact"/>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采购包：1(应急科普户外媒体播出服务)</w:t>
      </w:r>
    </w:p>
    <w:p>
      <w:pPr>
        <w:pStyle w:val="7"/>
        <w:spacing w:line="375" w:lineRule="exact"/>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投标人（供应商）名称：</w:t>
      </w:r>
    </w:p>
    <w:p>
      <w:pPr>
        <w:pStyle w:val="7"/>
        <w:jc w:val="left"/>
        <w:outlineLvl w:val="9"/>
        <w:rPr>
          <w:rFonts w:hint="eastAsia" w:asciiTheme="minorEastAsia" w:hAnsiTheme="minorEastAsia" w:eastAsiaTheme="minorEastAsia" w:cstheme="minorEastAsia"/>
        </w:rPr>
      </w:pPr>
    </w:p>
    <w:tbl>
      <w:tblPr>
        <w:tblStyle w:val="5"/>
        <w:tblW w:w="962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924"/>
        <w:gridCol w:w="1925"/>
        <w:gridCol w:w="1925"/>
        <w:gridCol w:w="1925"/>
        <w:gridCol w:w="192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24" w:type="dxa"/>
          </w:tcPr>
          <w:p>
            <w:pPr>
              <w:pStyle w:val="7"/>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序号</w:t>
            </w:r>
          </w:p>
        </w:tc>
        <w:tc>
          <w:tcPr>
            <w:tcW w:w="1925" w:type="dxa"/>
          </w:tcPr>
          <w:p>
            <w:pPr>
              <w:pStyle w:val="7"/>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报价内容</w:t>
            </w:r>
          </w:p>
        </w:tc>
        <w:tc>
          <w:tcPr>
            <w:tcW w:w="1925" w:type="dxa"/>
          </w:tcPr>
          <w:p>
            <w:pPr>
              <w:pStyle w:val="7"/>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最高限价</w:t>
            </w:r>
          </w:p>
        </w:tc>
        <w:tc>
          <w:tcPr>
            <w:tcW w:w="1925" w:type="dxa"/>
          </w:tcPr>
          <w:p>
            <w:pPr>
              <w:pStyle w:val="7"/>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响应报价</w:t>
            </w:r>
          </w:p>
        </w:tc>
        <w:tc>
          <w:tcPr>
            <w:tcW w:w="1925" w:type="dxa"/>
          </w:tcPr>
          <w:p>
            <w:pPr>
              <w:pStyle w:val="7"/>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价款形式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24" w:type="dxa"/>
          </w:tcPr>
          <w:p>
            <w:pPr>
              <w:pStyle w:val="7"/>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w:t>
            </w:r>
          </w:p>
        </w:tc>
        <w:tc>
          <w:tcPr>
            <w:tcW w:w="1925" w:type="dxa"/>
          </w:tcPr>
          <w:p>
            <w:pPr>
              <w:pStyle w:val="7"/>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应急科普户外媒体播出服务</w:t>
            </w:r>
          </w:p>
        </w:tc>
        <w:tc>
          <w:tcPr>
            <w:tcW w:w="1925" w:type="dxa"/>
          </w:tcPr>
          <w:p>
            <w:pPr>
              <w:pStyle w:val="7"/>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4000000  元</w:t>
            </w:r>
          </w:p>
        </w:tc>
        <w:tc>
          <w:tcPr>
            <w:tcW w:w="1925" w:type="dxa"/>
          </w:tcPr>
          <w:p>
            <w:pPr>
              <w:pStyle w:val="7"/>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「汇总引用」  元</w:t>
            </w:r>
          </w:p>
        </w:tc>
        <w:tc>
          <w:tcPr>
            <w:tcW w:w="1925" w:type="dxa"/>
          </w:tcPr>
          <w:p>
            <w:pPr>
              <w:pStyle w:val="7"/>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w:t>
            </w:r>
          </w:p>
        </w:tc>
      </w:tr>
    </w:tbl>
    <w:p>
      <w:pPr>
        <w:pStyle w:val="7"/>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备注：无</w:t>
      </w:r>
    </w:p>
    <w:p>
      <w:pPr>
        <w:pStyle w:val="7"/>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时间：     年     月     日</w:t>
      </w:r>
    </w:p>
    <w:p>
      <w:pPr>
        <w:pStyle w:val="7"/>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签章：                     </w:t>
      </w:r>
    </w:p>
    <w:p>
      <w:pPr>
        <w:pStyle w:val="7"/>
        <w:jc w:val="left"/>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投标（响应）报价明细表</w:t>
      </w:r>
    </w:p>
    <w:p>
      <w:pPr>
        <w:pStyle w:val="7"/>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项目编号：[350001]YXGL[GK]2026001</w:t>
      </w:r>
    </w:p>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项目名称：应急科普户外媒体播出服务</w:t>
      </w:r>
    </w:p>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采购包：应急科普户外媒体播出服务</w:t>
      </w:r>
    </w:p>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投标人名称：</w:t>
      </w:r>
    </w:p>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应急科普户外媒体播出服务</w:t>
      </w:r>
    </w:p>
    <w:p>
      <w:pPr>
        <w:pStyle w:val="7"/>
        <w:jc w:val="left"/>
        <w:rPr>
          <w:rFonts w:hint="eastAsia" w:asciiTheme="minorEastAsia" w:hAnsiTheme="minorEastAsia" w:eastAsiaTheme="minorEastAsia" w:cstheme="minorEastAsia"/>
        </w:rPr>
      </w:pPr>
    </w:p>
    <w:tbl>
      <w:tblPr>
        <w:tblStyle w:val="5"/>
        <w:tblW w:w="96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51"/>
        <w:gridCol w:w="851"/>
        <w:gridCol w:w="852"/>
        <w:gridCol w:w="852"/>
        <w:gridCol w:w="852"/>
        <w:gridCol w:w="852"/>
        <w:gridCol w:w="1035"/>
        <w:gridCol w:w="852"/>
        <w:gridCol w:w="921"/>
        <w:gridCol w:w="852"/>
        <w:gridCol w:w="85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序号</w:t>
            </w:r>
          </w:p>
        </w:tc>
        <w:tc>
          <w:tcPr>
            <w:tcW w:w="85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服务名称</w:t>
            </w:r>
          </w:p>
        </w:tc>
        <w:tc>
          <w:tcPr>
            <w:tcW w:w="852"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服务范围</w:t>
            </w:r>
          </w:p>
        </w:tc>
        <w:tc>
          <w:tcPr>
            <w:tcW w:w="852"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服务要求</w:t>
            </w:r>
          </w:p>
        </w:tc>
        <w:tc>
          <w:tcPr>
            <w:tcW w:w="852"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服务时间</w:t>
            </w:r>
          </w:p>
        </w:tc>
        <w:tc>
          <w:tcPr>
            <w:tcW w:w="852"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服务标准</w:t>
            </w:r>
          </w:p>
        </w:tc>
        <w:tc>
          <w:tcPr>
            <w:tcW w:w="1035"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最高限价</w:t>
            </w:r>
          </w:p>
        </w:tc>
        <w:tc>
          <w:tcPr>
            <w:tcW w:w="852"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单价</w:t>
            </w:r>
          </w:p>
        </w:tc>
        <w:tc>
          <w:tcPr>
            <w:tcW w:w="92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数量</w:t>
            </w:r>
          </w:p>
        </w:tc>
        <w:tc>
          <w:tcPr>
            <w:tcW w:w="852"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计量单位</w:t>
            </w:r>
          </w:p>
        </w:tc>
        <w:tc>
          <w:tcPr>
            <w:tcW w:w="852"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w:t>
            </w:r>
          </w:p>
        </w:tc>
        <w:tc>
          <w:tcPr>
            <w:tcW w:w="85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应急科普户外媒体播出服务</w:t>
            </w:r>
          </w:p>
        </w:tc>
        <w:tc>
          <w:tcPr>
            <w:tcW w:w="852"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852"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852"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852"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1035"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4000000  元</w:t>
            </w:r>
          </w:p>
        </w:tc>
        <w:tc>
          <w:tcPr>
            <w:tcW w:w="852"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{=总价/数量}  元</w:t>
            </w:r>
          </w:p>
        </w:tc>
        <w:tc>
          <w:tcPr>
            <w:tcW w:w="92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1.0000</w:t>
            </w:r>
          </w:p>
        </w:tc>
        <w:tc>
          <w:tcPr>
            <w:tcW w:w="852"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项</w:t>
            </w:r>
          </w:p>
        </w:tc>
        <w:tc>
          <w:tcPr>
            <w:tcW w:w="852"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  元</w:t>
            </w:r>
          </w:p>
        </w:tc>
      </w:tr>
    </w:tbl>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合计：</w:t>
      </w:r>
    </w:p>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备注：无</w:t>
      </w:r>
    </w:p>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时间：     年     月     日</w:t>
      </w:r>
    </w:p>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签章：                     </w:t>
      </w:r>
    </w:p>
    <w:p>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三、招标文件规定的价格扣除证明材料（若有）</w:t>
      </w:r>
    </w:p>
    <w:p>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三-1优先类节能产品、环境标志产品价格扣除证明材料（若有）</w:t>
      </w:r>
    </w:p>
    <w:p>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三-1-①优先类节能产品、环境标志产品统计表（价格扣除适用，若有）</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5"/>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35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rPr>
                <w:rFonts w:hint="eastAsia" w:asciiTheme="minorEastAsia" w:hAnsiTheme="minorEastAsia" w:eastAsiaTheme="minorEastAsia" w:cstheme="minorEastAsia"/>
              </w:rPr>
            </w:pPr>
          </w:p>
        </w:tc>
        <w:tc>
          <w:tcPr>
            <w:tcW w:w="7122" w:type="dxa"/>
            <w:gridSpan w:val="4"/>
          </w:tcPr>
          <w:p>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本采购包内属于节能、环境标志产品情况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187"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187"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产品名称</w:t>
            </w:r>
          </w:p>
        </w:tc>
        <w:tc>
          <w:tcPr>
            <w:tcW w:w="1187"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认证种类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187"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187" w:type="dxa"/>
          </w:tcPr>
          <w:p>
            <w:pPr>
              <w:rPr>
                <w:rFonts w:hint="eastAsia" w:asciiTheme="minorEastAsia" w:hAnsiTheme="minorEastAsia" w:eastAsiaTheme="minorEastAsia" w:cstheme="minorEastAsia"/>
              </w:rPr>
            </w:pPr>
          </w:p>
        </w:tc>
        <w:tc>
          <w:tcPr>
            <w:tcW w:w="1187"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供应商自行填写种类，并上传证明附件以便评审查看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pPr>
              <w:rPr>
                <w:rFonts w:hint="eastAsia" w:asciiTheme="minorEastAsia" w:hAnsiTheme="minorEastAsia" w:eastAsiaTheme="minorEastAsia" w:cstheme="minorEastAsia"/>
              </w:rPr>
            </w:pPr>
          </w:p>
        </w:tc>
        <w:tc>
          <w:tcPr>
            <w:tcW w:w="1187"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pPr>
              <w:pStyle w:val="7"/>
              <w:jc w:val="left"/>
              <w:rPr>
                <w:rFonts w:hint="eastAsia" w:asciiTheme="minorEastAsia" w:hAnsiTheme="minorEastAsia" w:eastAsiaTheme="minorEastAsia" w:cstheme="minorEastAsia"/>
              </w:rPr>
            </w:pPr>
          </w:p>
        </w:tc>
        <w:tc>
          <w:tcPr>
            <w:tcW w:w="1187" w:type="dxa"/>
          </w:tcPr>
          <w:p>
            <w:pPr>
              <w:rPr>
                <w:rFonts w:hint="eastAsia" w:asciiTheme="minorEastAsia" w:hAnsiTheme="minorEastAsia" w:eastAsiaTheme="minorEastAsia" w:cstheme="minorEastAsia"/>
              </w:rPr>
            </w:pPr>
          </w:p>
        </w:tc>
        <w:tc>
          <w:tcPr>
            <w:tcW w:w="1187" w:type="dxa"/>
          </w:tcPr>
          <w:p>
            <w:pPr>
              <w:rPr>
                <w:rFonts w:hint="eastAsia" w:asciiTheme="minorEastAsia" w:hAnsiTheme="minorEastAsia" w:eastAsiaTheme="minorEastAsia" w:cstheme="minorEastAsia"/>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tc>
        <w:tc>
          <w:tcPr>
            <w:tcW w:w="3561" w:type="dxa"/>
            <w:gridSpan w:val="3"/>
          </w:tcPr>
          <w:p>
            <w:pPr>
              <w:pStyle w:val="7"/>
              <w:jc w:val="left"/>
              <w:rPr>
                <w:rFonts w:hint="eastAsia" w:asciiTheme="minorEastAsia" w:hAnsiTheme="minorEastAsia" w:eastAsiaTheme="minorEastAsia" w:cstheme="minorEastAsia"/>
              </w:rPr>
            </w:pPr>
          </w:p>
        </w:tc>
      </w:tr>
    </w:tbl>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1、对节能、环境标志产品计算价格扣除时，只依据电子投标（响应）文件“投标（响应）报价明细表”以及“优先类节能产品、环境标志产品证明材料（价格扣除适用，若有）。</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2、本表以采购包为单位，不同采购包请分别填写；同一采购包请按照其品目号顺序分别填写。</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3、具体统计、计算：</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3.1若同一采购包内的单个或多个货物取得或同时取得节能、环境标志产品等两项或多项认证的，均按照单个货物对应一项认证的原则统计、计算1次。</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3.2计算结果若除不尽，可四舍五入保留到小数点后两位。</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3.3投标人(供应商)按照采购文件要求认真统计、计算。</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3.4若无节能、环境标志产品，不填写本表。</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3.5强制类节能产品不享受价格扣除。</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三-1-②优先类节能产品、环境标志产品证明材料（价格扣除适用，若有）</w:t>
      </w:r>
    </w:p>
    <w:p>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三-2小型、微型企业产品等价格扣除证明材料（若有）</w:t>
      </w:r>
    </w:p>
    <w:p>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三-2-①中小企业声明函（价格扣除适用，若有）</w:t>
      </w:r>
    </w:p>
    <w:p>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中小企业声明函（货物）</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采购活动，提供的货物全部由符合政策要求的中小企业制造。相关企业（含联合体中的中小企业、签订分包意向协议的中小企业）的具体情况如下：</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w:t>
      </w:r>
      <w:r>
        <w:rPr>
          <w:rFonts w:hint="eastAsia" w:asciiTheme="minorEastAsia" w:hAnsiTheme="minorEastAsia" w:eastAsiaTheme="minorEastAsia" w:cstheme="minorEastAsia"/>
          <w:sz w:val="21"/>
          <w:vertAlign w:val="superscript"/>
        </w:rPr>
        <w:t>1</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中小企业声明函（工程、服务）</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采购活动，工程的施工单位全部为符合政策要求的中小企业（或者：服务全部由符合政策要求的中小企业承接）。相关企业（含联合体中的中小企业、签订分包意向协议的中小企业）的具体情况如下：</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w:t>
      </w:r>
      <w:r>
        <w:rPr>
          <w:rFonts w:hint="eastAsia" w:asciiTheme="minorEastAsia" w:hAnsiTheme="minorEastAsia" w:eastAsiaTheme="minorEastAsia" w:cstheme="minorEastAsia"/>
          <w:sz w:val="21"/>
          <w:vertAlign w:val="superscript"/>
        </w:rPr>
        <w:t>1</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三-2-②小型、微型企业等证明材料（价格扣除适用，若有）</w:t>
      </w:r>
    </w:p>
    <w:p>
      <w:pPr>
        <w:pStyle w:val="7"/>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1、投标人为监狱企业的，根据其提供的由省级以上监狱管理局、戒毒管理局（含新疆生产建设兵团）出具的属于监狱企业的证明文件进行认定，监狱企业视同小型、微型企业。</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2、投标人为残疾人福利性单位的，根据其提供的《残疾人福利性单位声明函》（格式附后）进行认定，残疾人福利性单位视同小型、微型企业。残疾人福利性单位属于小型、微型企业的，不重复享受政策。</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w:t>
      </w:r>
    </w:p>
    <w:p>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残疾人福利性单位声明函（价格扣除适用，若有）</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）由本投标人承建的（填写“所投采购包、品目号”）工程</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）由本投标人承接的（填写“所投采购包、品目号”）服务；</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本投标人对上述声明的真实性负责。如有虚假，将依法承担相应责任。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1、请投标人按照实际情况编制填写本声明函，并在相应的（）中打“√”。</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2、若《残疾人福利性单位声明函》内容不真实，视为提供虚假材料。</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w:t>
      </w:r>
    </w:p>
    <w:p>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监狱企业证明材料</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投标人为监狱企业，提供本单位制造的货物（承接的服务），并在电子投标文件中提供省级以上监狱管理局、戒毒管理局（含新疆生产建设兵团）出具的属于监狱企业的证明文件。</w:t>
      </w:r>
    </w:p>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三-3招标文件规定的其他价格扣除证明材料（若有）</w:t>
      </w:r>
    </w:p>
    <w:p>
      <w:pPr>
        <w:pStyle w:val="7"/>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若投标人可享受招标文件规定的除“节能（非强制类）、环境标志产品价格扣除”及“小型、微型企业产品等价格扣除”外的其他价格扣除优惠，则投标人应按照招标文件要求提供相应证明材料。</w:t>
      </w:r>
    </w:p>
    <w:p>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封面格式(技术商务部分)</w:t>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福建省政府采购投标文件</w:t>
      </w:r>
    </w:p>
    <w:p>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（技术商务部分）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（填写正本或副本）</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项目名称：（由投标人填写）</w:t>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备案编号：（由投标人填写）</w:t>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项目编号：（由投标人填写）</w:t>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所投采购包：（由投标人填写）</w:t>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投标人：（填写“全称”）</w:t>
      </w:r>
    </w:p>
    <w:p>
      <w:pPr>
        <w:pStyle w:val="7"/>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（由投标人填写）年（由投标人填写）月</w:t>
      </w:r>
    </w:p>
    <w:p>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索引</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一、标的说明一览表</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二、技术和服务要求响应表</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三、商务条件响应表</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四、投标人提交的其他资料（若有）</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※注意</w:t>
      </w:r>
    </w:p>
    <w:p>
      <w:pPr>
        <w:pStyle w:val="7"/>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技术商务部分中不得出现报价部分的全部或部分的投标报价信息（或组成资料），否则符合性审查不合格。</w:t>
      </w:r>
    </w:p>
    <w:p>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一、标的说明一览表</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5"/>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187"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187"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投标标的</w:t>
            </w:r>
          </w:p>
        </w:tc>
        <w:tc>
          <w:tcPr>
            <w:tcW w:w="1187"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数量</w:t>
            </w:r>
          </w:p>
        </w:tc>
        <w:tc>
          <w:tcPr>
            <w:tcW w:w="1187"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规格</w:t>
            </w:r>
          </w:p>
        </w:tc>
        <w:tc>
          <w:tcPr>
            <w:tcW w:w="1187"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来源地</w:t>
            </w:r>
          </w:p>
        </w:tc>
        <w:tc>
          <w:tcPr>
            <w:tcW w:w="1187"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187"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187" w:type="dxa"/>
          </w:tcPr>
          <w:p>
            <w:pPr>
              <w:rPr>
                <w:rFonts w:hint="eastAsia" w:asciiTheme="minorEastAsia" w:hAnsiTheme="minorEastAsia" w:eastAsiaTheme="minorEastAsia" w:cstheme="minorEastAsia"/>
              </w:rPr>
            </w:pPr>
          </w:p>
        </w:tc>
        <w:tc>
          <w:tcPr>
            <w:tcW w:w="1187" w:type="dxa"/>
          </w:tcPr>
          <w:p>
            <w:pPr>
              <w:rPr>
                <w:rFonts w:hint="eastAsia" w:asciiTheme="minorEastAsia" w:hAnsiTheme="minorEastAsia" w:eastAsiaTheme="minorEastAsia" w:cstheme="minorEastAsia"/>
              </w:rPr>
            </w:pPr>
          </w:p>
        </w:tc>
        <w:tc>
          <w:tcPr>
            <w:tcW w:w="1187" w:type="dxa"/>
          </w:tcPr>
          <w:p>
            <w:pPr>
              <w:rPr>
                <w:rFonts w:hint="eastAsia" w:asciiTheme="minorEastAsia" w:hAnsiTheme="minorEastAsia" w:eastAsiaTheme="minorEastAsia" w:cstheme="minorEastAsia"/>
              </w:rPr>
            </w:pPr>
          </w:p>
        </w:tc>
        <w:tc>
          <w:tcPr>
            <w:tcW w:w="1187" w:type="dxa"/>
          </w:tcPr>
          <w:p>
            <w:pPr>
              <w:rPr>
                <w:rFonts w:hint="eastAsia" w:asciiTheme="minorEastAsia" w:hAnsiTheme="minorEastAsia" w:eastAsiaTheme="minorEastAsia" w:cstheme="minorEastAsia"/>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pPr>
              <w:rPr>
                <w:rFonts w:hint="eastAsia" w:asciiTheme="minorEastAsia" w:hAnsiTheme="minorEastAsia" w:eastAsiaTheme="minorEastAsia" w:cstheme="minorEastAsia"/>
              </w:rPr>
            </w:pPr>
          </w:p>
        </w:tc>
        <w:tc>
          <w:tcPr>
            <w:tcW w:w="1187"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187" w:type="dxa"/>
          </w:tcPr>
          <w:p>
            <w:pPr>
              <w:rPr>
                <w:rFonts w:hint="eastAsia" w:asciiTheme="minorEastAsia" w:hAnsiTheme="minorEastAsia" w:eastAsiaTheme="minorEastAsia" w:cstheme="minorEastAsia"/>
              </w:rPr>
            </w:pPr>
          </w:p>
        </w:tc>
        <w:tc>
          <w:tcPr>
            <w:tcW w:w="1187" w:type="dxa"/>
          </w:tcPr>
          <w:p>
            <w:pPr>
              <w:rPr>
                <w:rFonts w:hint="eastAsia" w:asciiTheme="minorEastAsia" w:hAnsiTheme="minorEastAsia" w:eastAsiaTheme="minorEastAsia" w:cstheme="minorEastAsia"/>
              </w:rPr>
            </w:pPr>
          </w:p>
        </w:tc>
        <w:tc>
          <w:tcPr>
            <w:tcW w:w="1187" w:type="dxa"/>
          </w:tcPr>
          <w:p>
            <w:pPr>
              <w:rPr>
                <w:rFonts w:hint="eastAsia" w:asciiTheme="minorEastAsia" w:hAnsiTheme="minorEastAsia" w:eastAsiaTheme="minorEastAsia" w:cstheme="minorEastAsia"/>
              </w:rPr>
            </w:pPr>
          </w:p>
        </w:tc>
        <w:tc>
          <w:tcPr>
            <w:tcW w:w="1187" w:type="dxa"/>
          </w:tcPr>
          <w:p>
            <w:pPr>
              <w:rPr>
                <w:rFonts w:hint="eastAsia" w:asciiTheme="minorEastAsia" w:hAnsiTheme="minorEastAsia" w:eastAsiaTheme="minorEastAsia" w:cstheme="minorEastAsia"/>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gridAfter w:val="1"/>
          <w:wAfter w:w="1187" w:type="dxa"/>
        </w:trPr>
        <w:tc>
          <w:tcPr>
            <w:tcW w:w="1187"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187" w:type="dxa"/>
          </w:tcPr>
          <w:p>
            <w:pPr>
              <w:rPr>
                <w:rFonts w:hint="eastAsia" w:asciiTheme="minorEastAsia" w:hAnsiTheme="minorEastAsia" w:eastAsiaTheme="minorEastAsia" w:cstheme="minorEastAsia"/>
              </w:rPr>
            </w:pPr>
          </w:p>
        </w:tc>
        <w:tc>
          <w:tcPr>
            <w:tcW w:w="1187" w:type="dxa"/>
          </w:tcPr>
          <w:p>
            <w:pPr>
              <w:rPr>
                <w:rFonts w:hint="eastAsia" w:asciiTheme="minorEastAsia" w:hAnsiTheme="minorEastAsia" w:eastAsiaTheme="minorEastAsia" w:cstheme="minorEastAsia"/>
              </w:rPr>
            </w:pPr>
          </w:p>
        </w:tc>
        <w:tc>
          <w:tcPr>
            <w:tcW w:w="1187" w:type="dxa"/>
          </w:tcPr>
          <w:p>
            <w:pPr>
              <w:rPr>
                <w:rFonts w:hint="eastAsia" w:asciiTheme="minorEastAsia" w:hAnsiTheme="minorEastAsia" w:eastAsiaTheme="minorEastAsia" w:cstheme="minorEastAsia"/>
              </w:rPr>
            </w:pPr>
          </w:p>
        </w:tc>
        <w:tc>
          <w:tcPr>
            <w:tcW w:w="1187" w:type="dxa"/>
          </w:tcPr>
          <w:p>
            <w:pPr>
              <w:rPr>
                <w:rFonts w:hint="eastAsia" w:asciiTheme="minorEastAsia" w:hAnsiTheme="minorEastAsia" w:eastAsiaTheme="minorEastAsia" w:cstheme="minorEastAsia"/>
              </w:rPr>
            </w:pPr>
          </w:p>
        </w:tc>
        <w:tc>
          <w:tcPr>
            <w:tcW w:w="1187" w:type="dxa"/>
          </w:tcPr>
          <w:p>
            <w:pPr>
              <w:rPr>
                <w:rFonts w:hint="eastAsia" w:asciiTheme="minorEastAsia" w:hAnsiTheme="minorEastAsia" w:eastAsiaTheme="minorEastAsia" w:cstheme="minorEastAsia"/>
              </w:rPr>
            </w:pPr>
          </w:p>
        </w:tc>
      </w:tr>
    </w:tbl>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1、本表应按照下列规定填写：</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1.1“采购包”、“品目号”、“投标标的”及“数量”应与招标文件《采购标的一览表》中的有关内容（“采购包”、“品目号”、“采购标的”及“数量”）保持一致。</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1.3“投标标的”为服务的：“规格”项下应填写服务提供者提供的服务标准及品牌（若有）。“来源地”应填写服务提供者的所在地。“备注”项下应填写关于服务标准所涵盖的具体项目或内容的说明等。</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2、投标人需要说明的内容若需特殊表达，应先在本表中进行相应说明，再另页应答，但应做好标注说明，方便评委查阅评审。未标注说明可能导致的不利的评审后果由投标人自行承担。</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3、电子投标文件中涉及“投标标的”、“数量”、“规格”、“来源地”的内容若不一致，以投标客户端的投标（响应）报价明细表为准。</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二、技术和服务要求响应表</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5"/>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66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66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技术和服务要求</w:t>
            </w:r>
          </w:p>
        </w:tc>
        <w:tc>
          <w:tcPr>
            <w:tcW w:w="166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投标响应</w:t>
            </w:r>
          </w:p>
        </w:tc>
        <w:tc>
          <w:tcPr>
            <w:tcW w:w="166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661" w:type="dxa"/>
          </w:tcPr>
          <w:p>
            <w:pPr>
              <w:rPr>
                <w:rFonts w:hint="eastAsia" w:asciiTheme="minorEastAsia" w:hAnsiTheme="minorEastAsia" w:eastAsiaTheme="minorEastAsia" w:cstheme="minorEastAsia"/>
              </w:rPr>
            </w:pPr>
          </w:p>
        </w:tc>
        <w:tc>
          <w:tcPr>
            <w:tcW w:w="1661" w:type="dxa"/>
          </w:tcPr>
          <w:p>
            <w:pPr>
              <w:rPr>
                <w:rFonts w:hint="eastAsia" w:asciiTheme="minorEastAsia" w:hAnsiTheme="minorEastAsia" w:eastAsiaTheme="minorEastAsia" w:cstheme="minorEastAsia"/>
              </w:rPr>
            </w:pPr>
          </w:p>
        </w:tc>
        <w:tc>
          <w:tcPr>
            <w:tcW w:w="1661" w:type="dxa"/>
          </w:tcPr>
          <w:p>
            <w:pPr>
              <w:rPr>
                <w:rFonts w:hint="eastAsia" w:asciiTheme="minorEastAsia" w:hAnsiTheme="minorEastAsia" w:eastAsiaTheme="minorEastAsia" w:cstheme="minorEastAsia"/>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pPr>
              <w:rPr>
                <w:rFonts w:hint="eastAsia" w:asciiTheme="minorEastAsia" w:hAnsiTheme="minorEastAsia" w:eastAsiaTheme="minorEastAsia" w:cstheme="minorEastAsia"/>
              </w:rPr>
            </w:pPr>
          </w:p>
        </w:tc>
        <w:tc>
          <w:tcPr>
            <w:tcW w:w="166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pPr>
              <w:rPr>
                <w:rFonts w:hint="eastAsia" w:asciiTheme="minorEastAsia" w:hAnsiTheme="minorEastAsia" w:eastAsiaTheme="minorEastAsia" w:cstheme="minorEastAsia"/>
              </w:rPr>
            </w:pPr>
          </w:p>
        </w:tc>
        <w:tc>
          <w:tcPr>
            <w:tcW w:w="1661" w:type="dxa"/>
          </w:tcPr>
          <w:p>
            <w:pPr>
              <w:rPr>
                <w:rFonts w:hint="eastAsia" w:asciiTheme="minorEastAsia" w:hAnsiTheme="minorEastAsia" w:eastAsiaTheme="minorEastAsia" w:cstheme="minorEastAsia"/>
              </w:rPr>
            </w:pPr>
          </w:p>
        </w:tc>
        <w:tc>
          <w:tcPr>
            <w:tcW w:w="1661" w:type="dxa"/>
          </w:tcPr>
          <w:p>
            <w:pPr>
              <w:rPr>
                <w:rFonts w:hint="eastAsia" w:asciiTheme="minorEastAsia" w:hAnsiTheme="minorEastAsia" w:eastAsiaTheme="minorEastAsia" w:cstheme="minorEastAsia"/>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pPr>
              <w:rPr>
                <w:rFonts w:hint="eastAsia" w:asciiTheme="minorEastAsia" w:hAnsiTheme="minorEastAsia" w:eastAsiaTheme="minorEastAsia" w:cstheme="minorEastAsia"/>
              </w:rPr>
            </w:pPr>
          </w:p>
        </w:tc>
        <w:tc>
          <w:tcPr>
            <w:tcW w:w="1661" w:type="dxa"/>
          </w:tcPr>
          <w:p>
            <w:pPr>
              <w:rPr>
                <w:rFonts w:hint="eastAsia" w:asciiTheme="minorEastAsia" w:hAnsiTheme="minorEastAsia" w:eastAsiaTheme="minorEastAsia" w:cstheme="minorEastAsia"/>
              </w:rPr>
            </w:pPr>
          </w:p>
        </w:tc>
        <w:tc>
          <w:tcPr>
            <w:tcW w:w="1661" w:type="dxa"/>
          </w:tcPr>
          <w:p>
            <w:pPr>
              <w:rPr>
                <w:rFonts w:hint="eastAsia" w:asciiTheme="minorEastAsia" w:hAnsiTheme="minorEastAsia" w:eastAsiaTheme="minorEastAsia" w:cstheme="minorEastAsia"/>
              </w:rPr>
            </w:pPr>
          </w:p>
        </w:tc>
        <w:tc>
          <w:tcPr>
            <w:tcW w:w="1661" w:type="dxa"/>
          </w:tcPr>
          <w:p>
            <w:pPr>
              <w:rPr>
                <w:rFonts w:hint="eastAsia" w:asciiTheme="minorEastAsia" w:hAnsiTheme="minorEastAsia" w:eastAsiaTheme="minorEastAsia" w:cstheme="minorEastAsia"/>
              </w:rPr>
            </w:pPr>
          </w:p>
        </w:tc>
      </w:tr>
    </w:tbl>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1、本表应按照下列规定填写：</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1.1“技术和服务要求”项下填写的内容应与招标文件第五章“技术和服务要求”的内容保持一致。</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1.3“是否偏离及说明”项下应按下列规定填写：优于的，填写“正偏离”；符合的，填写“无偏离”；低于的，填写“负偏离”。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2、投标人需要说明的内容若需特殊表达，应先在本表中进行相应说明，再另页应答，但应做好标注说明，方便评委查阅评审。未标注说明可能导致的不利的评审后果由投标人自行承担。</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三、商务条件响应表</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5"/>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66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66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商务条件</w:t>
            </w:r>
          </w:p>
        </w:tc>
        <w:tc>
          <w:tcPr>
            <w:tcW w:w="166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投标响应</w:t>
            </w:r>
          </w:p>
        </w:tc>
        <w:tc>
          <w:tcPr>
            <w:tcW w:w="166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661" w:type="dxa"/>
          </w:tcPr>
          <w:p>
            <w:pPr>
              <w:rPr>
                <w:rFonts w:hint="eastAsia" w:asciiTheme="minorEastAsia" w:hAnsiTheme="minorEastAsia" w:eastAsiaTheme="minorEastAsia" w:cstheme="minorEastAsia"/>
              </w:rPr>
            </w:pPr>
          </w:p>
        </w:tc>
        <w:tc>
          <w:tcPr>
            <w:tcW w:w="1661" w:type="dxa"/>
          </w:tcPr>
          <w:p>
            <w:pPr>
              <w:rPr>
                <w:rFonts w:hint="eastAsia" w:asciiTheme="minorEastAsia" w:hAnsiTheme="minorEastAsia" w:eastAsiaTheme="minorEastAsia" w:cstheme="minorEastAsia"/>
              </w:rPr>
            </w:pPr>
          </w:p>
        </w:tc>
        <w:tc>
          <w:tcPr>
            <w:tcW w:w="1661" w:type="dxa"/>
          </w:tcPr>
          <w:p>
            <w:pPr>
              <w:rPr>
                <w:rFonts w:hint="eastAsia" w:asciiTheme="minorEastAsia" w:hAnsiTheme="minorEastAsia" w:eastAsiaTheme="minorEastAsia" w:cstheme="minorEastAsia"/>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pPr>
              <w:rPr>
                <w:rFonts w:hint="eastAsia" w:asciiTheme="minorEastAsia" w:hAnsiTheme="minorEastAsia" w:eastAsiaTheme="minorEastAsia" w:cstheme="minorEastAsia"/>
              </w:rPr>
            </w:pPr>
          </w:p>
        </w:tc>
        <w:tc>
          <w:tcPr>
            <w:tcW w:w="166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pPr>
              <w:rPr>
                <w:rFonts w:hint="eastAsia" w:asciiTheme="minorEastAsia" w:hAnsiTheme="minorEastAsia" w:eastAsiaTheme="minorEastAsia" w:cstheme="minorEastAsia"/>
              </w:rPr>
            </w:pPr>
          </w:p>
        </w:tc>
        <w:tc>
          <w:tcPr>
            <w:tcW w:w="1661" w:type="dxa"/>
          </w:tcPr>
          <w:p>
            <w:pPr>
              <w:rPr>
                <w:rFonts w:hint="eastAsia" w:asciiTheme="minorEastAsia" w:hAnsiTheme="minorEastAsia" w:eastAsiaTheme="minorEastAsia" w:cstheme="minorEastAsia"/>
              </w:rPr>
            </w:pPr>
          </w:p>
        </w:tc>
        <w:tc>
          <w:tcPr>
            <w:tcW w:w="1661" w:type="dxa"/>
          </w:tcPr>
          <w:p>
            <w:pPr>
              <w:rPr>
                <w:rFonts w:hint="eastAsia" w:asciiTheme="minorEastAsia" w:hAnsiTheme="minorEastAsia" w:eastAsiaTheme="minorEastAsia" w:cstheme="minorEastAsia"/>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1" w:type="dxa"/>
          </w:tcPr>
          <w:p>
            <w:pPr>
              <w:pStyle w:val="7"/>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pPr>
              <w:rPr>
                <w:rFonts w:hint="eastAsia" w:asciiTheme="minorEastAsia" w:hAnsiTheme="minorEastAsia" w:eastAsiaTheme="minorEastAsia" w:cstheme="minorEastAsia"/>
              </w:rPr>
            </w:pPr>
          </w:p>
        </w:tc>
        <w:tc>
          <w:tcPr>
            <w:tcW w:w="1661" w:type="dxa"/>
          </w:tcPr>
          <w:p>
            <w:pPr>
              <w:rPr>
                <w:rFonts w:hint="eastAsia" w:asciiTheme="minorEastAsia" w:hAnsiTheme="minorEastAsia" w:eastAsiaTheme="minorEastAsia" w:cstheme="minorEastAsia"/>
              </w:rPr>
            </w:pPr>
          </w:p>
        </w:tc>
        <w:tc>
          <w:tcPr>
            <w:tcW w:w="1661" w:type="dxa"/>
          </w:tcPr>
          <w:p>
            <w:pPr>
              <w:rPr>
                <w:rFonts w:hint="eastAsia" w:asciiTheme="minorEastAsia" w:hAnsiTheme="minorEastAsia" w:eastAsiaTheme="minorEastAsia" w:cstheme="minorEastAsia"/>
              </w:rPr>
            </w:pPr>
          </w:p>
        </w:tc>
        <w:tc>
          <w:tcPr>
            <w:tcW w:w="1661" w:type="dxa"/>
          </w:tcPr>
          <w:p>
            <w:pPr>
              <w:rPr>
                <w:rFonts w:hint="eastAsia" w:asciiTheme="minorEastAsia" w:hAnsiTheme="minorEastAsia" w:eastAsiaTheme="minorEastAsia" w:cstheme="minorEastAsia"/>
              </w:rPr>
            </w:pPr>
          </w:p>
        </w:tc>
      </w:tr>
    </w:tbl>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1、本表应按照下列规定填写：</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1.1“商务条件”项下填写的内容应与招标文件第五章“商务条件”的内容保持一致。</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1.2“投标响应”项下应填写具体的响应内容并与“商务条件”项下填写的内容逐项对应；对“商务条件”项下涉及“≥或＞”、“≤或＜”及某个区间值范围内的内容，应填写具体的数值。</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1.3“是否偏离及说明”项下应按下列规定填写：优于的，填写“正偏离”；符合的，填写“无偏离”；低于的，填写“负偏离”。</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2、投标人需要说明的内容若需特殊表达，应先在本表中进行相应说明，再另页应答，但应做好标注说明，方便评委查阅评审。未标注说明可能导致的不利的评审后果由投标人自行承担。</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四、投标人提交的其他资料（若有）</w:t>
      </w:r>
    </w:p>
    <w:p>
      <w:pPr>
        <w:pStyle w:val="7"/>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1、招标文件要求提交的除“资格及资信证明部分”、“报价部分”外的其他证明材料或资料加盖投标人的单位公章后应在此项下提交。</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2、招标文件要求投标人提供方案（包括但不限于：组织、实施、技术、服务方案等）的，投标人应在此项下提交。</w:t>
      </w:r>
    </w:p>
    <w:p>
      <w:pPr>
        <w:pStyle w:val="7"/>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3、除招标文件另有规定外，投标人认为需要提交的其他证明材料或资料加盖投标人的单位公章后应在此项下提交。</w:t>
      </w:r>
    </w:p>
    <w:p>
      <w:pPr>
        <w:pStyle w:val="7"/>
        <w:rPr>
          <w:rFonts w:hint="eastAsia" w:asciiTheme="minorEastAsia" w:hAnsiTheme="minorEastAsia" w:eastAsiaTheme="minorEastAsia" w:cstheme="minorEastAsia"/>
          <w:lang w:val="en-US" w:eastAsia="zh-Hans"/>
        </w:rPr>
      </w:pPr>
    </w:p>
    <w:sectPr>
      <w:pgSz w:w="11906" w:h="16838"/>
      <w:pgMar w:top="1247" w:right="1247" w:bottom="1247"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6030804020204"/>
    <w:charset w:val="00"/>
    <w:family w:val="auto"/>
    <w:pitch w:val="default"/>
    <w:sig w:usb0="E7006EFF" w:usb1="D200FDFF" w:usb2="0A246029" w:usb3="0400200C" w:csb0="600001FF" w:csb1="DFFF0000"/>
  </w:font>
  <w:font w:name="Arial">
    <w:altName w:val="DejaVu Sans"/>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04A34F5"/>
    <w:rsid w:val="01213882"/>
    <w:rsid w:val="01E3268E"/>
    <w:rsid w:val="02A7431F"/>
    <w:rsid w:val="0310324A"/>
    <w:rsid w:val="043B10FF"/>
    <w:rsid w:val="080F6B2A"/>
    <w:rsid w:val="0B463B21"/>
    <w:rsid w:val="0D5028CE"/>
    <w:rsid w:val="0EBB7EB6"/>
    <w:rsid w:val="150A39F6"/>
    <w:rsid w:val="15363948"/>
    <w:rsid w:val="15DC4DD1"/>
    <w:rsid w:val="17336207"/>
    <w:rsid w:val="177F50ED"/>
    <w:rsid w:val="1D7F79EF"/>
    <w:rsid w:val="1EDD3086"/>
    <w:rsid w:val="1EEF7FE2"/>
    <w:rsid w:val="260F1419"/>
    <w:rsid w:val="2F201173"/>
    <w:rsid w:val="354B34EC"/>
    <w:rsid w:val="384F0C8B"/>
    <w:rsid w:val="39873EC3"/>
    <w:rsid w:val="39EC4DA5"/>
    <w:rsid w:val="3BDC4EA8"/>
    <w:rsid w:val="3D3844C8"/>
    <w:rsid w:val="3E5E27BD"/>
    <w:rsid w:val="3EB95A42"/>
    <w:rsid w:val="40E83499"/>
    <w:rsid w:val="41604EDE"/>
    <w:rsid w:val="41E778BE"/>
    <w:rsid w:val="42787C0A"/>
    <w:rsid w:val="4332503D"/>
    <w:rsid w:val="481D485C"/>
    <w:rsid w:val="4BF506B0"/>
    <w:rsid w:val="4D4B4F32"/>
    <w:rsid w:val="4E964534"/>
    <w:rsid w:val="53B52B8D"/>
    <w:rsid w:val="53B75E76"/>
    <w:rsid w:val="54BC0AC4"/>
    <w:rsid w:val="5B127639"/>
    <w:rsid w:val="5E807643"/>
    <w:rsid w:val="60F71CCD"/>
    <w:rsid w:val="617630F5"/>
    <w:rsid w:val="64076692"/>
    <w:rsid w:val="650736DE"/>
    <w:rsid w:val="66FE3167"/>
    <w:rsid w:val="68D65BDC"/>
    <w:rsid w:val="69192EDD"/>
    <w:rsid w:val="6A244C92"/>
    <w:rsid w:val="6BB50FFE"/>
    <w:rsid w:val="6E625AE8"/>
    <w:rsid w:val="6F494957"/>
    <w:rsid w:val="71107D1F"/>
    <w:rsid w:val="725B4D63"/>
    <w:rsid w:val="72AC0D71"/>
    <w:rsid w:val="753D4E5A"/>
    <w:rsid w:val="77F79321"/>
    <w:rsid w:val="7A554382"/>
    <w:rsid w:val="7DA55C93"/>
    <w:rsid w:val="7DDC0C74"/>
    <w:rsid w:val="7FE142DA"/>
    <w:rsid w:val="BBBF7779"/>
    <w:rsid w:val="EBEFF5DB"/>
    <w:rsid w:val="FBFF96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2"/>
    <w:qFormat/>
    <w:uiPriority w:val="0"/>
    <w:pPr>
      <w:widowControl w:val="0"/>
      <w:spacing w:line="480" w:lineRule="auto"/>
      <w:jc w:val="both"/>
    </w:pPr>
    <w:rPr>
      <w:rFonts w:asciiTheme="minorHAnsi" w:hAnsiTheme="minorHAnsi" w:eastAsiaTheme="minorEastAsia" w:cstheme="minorBidi"/>
      <w:kern w:val="2"/>
      <w:sz w:val="21"/>
      <w:szCs w:val="22"/>
      <w:lang w:val="en-US" w:eastAsia="zh-CN"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7">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112</Pages>
  <Words>17585</Words>
  <Characters>18298</Characters>
  <Lines>0</Lines>
  <Paragraphs>0</Paragraphs>
  <TotalTime>39</TotalTime>
  <ScaleCrop>false</ScaleCrop>
  <LinksUpToDate>false</LinksUpToDate>
  <CharactersWithSpaces>18433</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2022-04-09T11:57:00Z</dcterms:created>
  <dc:creator>administrator</dc:creator>
  <cp:lastModifiedBy>郑元锟</cp:lastModifiedBy>
  <cp:lastPrinted>2026-10-10T16:45:00Z</cp:lastPrinted>
  <dcterms:modified xsi:type="dcterms:W3CDTF">2026-10-10T12:06:28Z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10469F947B9317135CB5C96A83250A2C_43</vt:lpwstr>
  </property>
  <property fmtid="{D5CDD505-2E9C-101B-9397-08002B2CF9AE}" pid="4" name="KSOTemplateDocerSaveRecord">
    <vt:lpwstr>eyJoZGlkIjoiOTIzYTZlOGQ3ZTZjMjkyODUzZjBmNDgzOWNiY2Q1NzAiLCJ1c2VySWQiOiI3NTM3MzQzNjYifQ==</vt:lpwstr>
  </property>
</Properties>
</file>